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42"/>
      </w:tblGrid>
      <w:tr w:rsidR="00AE2215" w:rsidRPr="00AD7DDF" w:rsidTr="0007695F">
        <w:trPr>
          <w:trHeight w:val="234"/>
        </w:trPr>
        <w:tc>
          <w:tcPr>
            <w:tcW w:w="5070" w:type="dxa"/>
            <w:vMerge w:val="restart"/>
          </w:tcPr>
          <w:p w:rsidR="00AD7DDF" w:rsidRPr="00AD7DDF" w:rsidRDefault="00AD7DDF" w:rsidP="00AD7DDF">
            <w:pPr>
              <w:tabs>
                <w:tab w:val="left" w:pos="1665"/>
              </w:tabs>
              <w:spacing w:before="0"/>
              <w:rPr>
                <w:rFonts w:ascii="Arial" w:hAnsi="Arial" w:cs="Arial"/>
              </w:rPr>
            </w:pPr>
            <w:bookmarkStart w:id="0" w:name="mottagare"/>
            <w:bookmarkEnd w:id="0"/>
          </w:p>
        </w:tc>
        <w:tc>
          <w:tcPr>
            <w:tcW w:w="5342" w:type="dxa"/>
          </w:tcPr>
          <w:p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sz w:val="18"/>
              </w:rPr>
            </w:pPr>
            <w:r w:rsidRPr="00AD7DDF">
              <w:rPr>
                <w:rFonts w:ascii="Arial" w:hAnsi="Arial" w:cs="Arial"/>
                <w:sz w:val="14"/>
              </w:rPr>
              <w:t>Kopia till:</w:t>
            </w:r>
          </w:p>
        </w:tc>
      </w:tr>
      <w:tr w:rsidR="00AE2215" w:rsidRPr="00AD7DDF" w:rsidTr="0007695F">
        <w:trPr>
          <w:trHeight w:val="1668"/>
        </w:trPr>
        <w:tc>
          <w:tcPr>
            <w:tcW w:w="5070" w:type="dxa"/>
            <w:vMerge/>
          </w:tcPr>
          <w:p w:rsidR="00AE2215" w:rsidRPr="00AD7DDF" w:rsidRDefault="00AE2215" w:rsidP="00AD7DDF">
            <w:pPr>
              <w:tabs>
                <w:tab w:val="left" w:pos="1208"/>
                <w:tab w:val="left" w:pos="2500"/>
                <w:tab w:val="left" w:pos="3799"/>
                <w:tab w:val="left" w:pos="5097"/>
                <w:tab w:val="left" w:pos="6390"/>
                <w:tab w:val="left" w:pos="7689"/>
                <w:tab w:val="left" w:pos="8981"/>
                <w:tab w:val="left" w:pos="10280"/>
              </w:tabs>
              <w:spacing w:before="0"/>
              <w:rPr>
                <w:rFonts w:ascii="Arial" w:hAnsi="Arial" w:cs="Arial"/>
              </w:rPr>
            </w:pPr>
          </w:p>
        </w:tc>
        <w:tc>
          <w:tcPr>
            <w:tcW w:w="5342" w:type="dxa"/>
          </w:tcPr>
          <w:p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rPr>
            </w:pPr>
            <w:bookmarkStart w:id="1" w:name="kopiatill"/>
            <w:bookmarkEnd w:id="1"/>
          </w:p>
        </w:tc>
      </w:tr>
    </w:tbl>
    <w:sdt>
      <w:sdtPr>
        <w:alias w:val="Dokumenttitel NY"/>
        <w:id w:val="14507775"/>
        <w:placeholder>
          <w:docPart w:val="F284E53B28DF465F8DF1CF9E34477228"/>
        </w:placeholde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titel_x0020_NY[1]" w:storeItemID="{DDBA68D9-8950-4114-8FA5-53D8393B4D23}"/>
        <w:text/>
      </w:sdtPr>
      <w:sdtEndPr/>
      <w:sdtContent>
        <w:p w:rsidR="0037512B" w:rsidRDefault="00AD73E8" w:rsidP="0037512B">
          <w:pPr>
            <w:pStyle w:val="FormatmallRubrik116ptFre3ptefter12pt"/>
            <w:tabs>
              <w:tab w:val="left" w:pos="1208"/>
              <w:tab w:val="left" w:pos="2500"/>
              <w:tab w:val="left" w:pos="3799"/>
              <w:tab w:val="left" w:pos="5097"/>
              <w:tab w:val="left" w:pos="6390"/>
              <w:tab w:val="left" w:pos="7689"/>
              <w:tab w:val="left" w:pos="8981"/>
              <w:tab w:val="left" w:pos="10348"/>
            </w:tabs>
            <w:spacing w:after="0"/>
          </w:pPr>
          <w:r>
            <w:t>Beräkning av den</w:t>
          </w:r>
          <w:r w:rsidR="00C06DA3">
            <w:t xml:space="preserve"> samhällsekonomiska kostnaden </w:t>
          </w:r>
          <w:r>
            <w:t>för</w:t>
          </w:r>
          <w:r w:rsidR="00C06DA3">
            <w:t xml:space="preserve"> trafikstörningar</w:t>
          </w:r>
        </w:p>
      </w:sdtContent>
    </w:sdt>
    <w:p w:rsidR="00C0213A" w:rsidRDefault="0084768D" w:rsidP="00941B53">
      <w:bookmarkStart w:id="2" w:name="start"/>
      <w:bookmarkEnd w:id="2"/>
      <w:r>
        <w:t xml:space="preserve">I teorin är </w:t>
      </w:r>
      <w:r w:rsidR="0067143D">
        <w:t>det inga problem</w:t>
      </w:r>
      <w:r>
        <w:t xml:space="preserve"> att beräkna </w:t>
      </w:r>
      <w:r w:rsidR="00941B53">
        <w:t>den samhällsekonomiska kostnaden för</w:t>
      </w:r>
      <w:r w:rsidR="0067143D">
        <w:t xml:space="preserve"> </w:t>
      </w:r>
      <w:r w:rsidR="00AD73E8">
        <w:t>trafikstörningar</w:t>
      </w:r>
      <w:r w:rsidR="00C0213A">
        <w:t xml:space="preserve">. Det </w:t>
      </w:r>
      <w:r w:rsidR="00AD73E8">
        <w:t xml:space="preserve">”enda” </w:t>
      </w:r>
      <w:r w:rsidR="00C0213A">
        <w:t xml:space="preserve">man behöver göra är att beräkna antalet förseningstidstimmar som uppstår p.g.a., trafikstörningen och sedan multiplicera detta med det samhällsekonomiska värdet (kostnaden) per förseningstidstimme (ev. inkl. påslag för trängsel). </w:t>
      </w:r>
      <w:r w:rsidR="00A9428D">
        <w:t>När detta görs</w:t>
      </w:r>
      <w:r w:rsidR="00C0213A">
        <w:t xml:space="preserve"> i praktiken krävs </w:t>
      </w:r>
      <w:r w:rsidR="0067143D">
        <w:t>dock</w:t>
      </w:r>
      <w:r w:rsidR="00C0213A">
        <w:t xml:space="preserve"> att antalet förseningstidstimmar kan </w:t>
      </w:r>
      <w:r w:rsidR="00AD73E8">
        <w:t>upp</w:t>
      </w:r>
      <w:r w:rsidR="00C0213A">
        <w:t>skattas och att det finns en samhällsekonomisk värdering per för</w:t>
      </w:r>
      <w:r w:rsidR="0067143D">
        <w:t xml:space="preserve">seningstidstimme (som innefattar alla relevanta kostnader). </w:t>
      </w:r>
    </w:p>
    <w:p w:rsidR="00840369" w:rsidRDefault="00840369" w:rsidP="00941B53">
      <w:r>
        <w:t>Värderingar för trängsel</w:t>
      </w:r>
      <w:r w:rsidR="00AD73E8">
        <w:t>- och förseningstid</w:t>
      </w:r>
      <w:r>
        <w:t xml:space="preserve"> finns i ASEK (Analysmetod och samhällsekonomiska kalkylvärden för transportsektorn), för såväl persontrafik som godstrafik. Däremot beräknar Trafikverkets kalkylverktyg för vägtrafik i dagsläget inte effekter </w:t>
      </w:r>
      <w:r w:rsidR="00AD73E8">
        <w:t>avseende</w:t>
      </w:r>
      <w:r>
        <w:t xml:space="preserve"> trängsel, restidsosäkerhet och oväntade incidenter. Behovet av utveckling av kalkylverktygen beskrivs i Trafikverkets utvecklingsplan för metoder, modeller och verktyg (”</w:t>
      </w:r>
      <w:r w:rsidRPr="00924E80">
        <w:t>Trafikslagsövergripande plan för utveckling av metoder, modeller och verktyg – för analys av samhällsekonomi, järnvägskapacitet, effektsamband och statistik samt för trafik- och transportprognoser</w:t>
      </w:r>
      <w:r>
        <w:t xml:space="preserve">”) där man föreslår att man på medellång sikt ska </w:t>
      </w:r>
      <w:r>
        <w:rPr>
          <w:szCs w:val="20"/>
        </w:rPr>
        <w:t>ta fram data och modell för att beräkna effekter av trängsel, restidsosäkerhet och incidenter och implementera i relevanta verktyg.</w:t>
      </w:r>
      <w:r w:rsidR="00A9428D">
        <w:rPr>
          <w:szCs w:val="20"/>
        </w:rPr>
        <w:t xml:space="preserve"> </w:t>
      </w:r>
      <w:r w:rsidR="0037732D">
        <w:rPr>
          <w:szCs w:val="20"/>
        </w:rPr>
        <w:t xml:space="preserve">Den </w:t>
      </w:r>
      <w:r w:rsidR="00A9428D">
        <w:rPr>
          <w:szCs w:val="20"/>
        </w:rPr>
        <w:t>1 april 2018 publicerar Trafikverket ett kalkylverktyg för</w:t>
      </w:r>
      <w:r w:rsidR="0037732D">
        <w:rPr>
          <w:szCs w:val="20"/>
        </w:rPr>
        <w:t xml:space="preserve"> investeringar i</w:t>
      </w:r>
      <w:r w:rsidR="00A9428D">
        <w:rPr>
          <w:szCs w:val="20"/>
        </w:rPr>
        <w:t xml:space="preserve"> motorvägsstyrningssy</w:t>
      </w:r>
      <w:r w:rsidR="0037732D">
        <w:rPr>
          <w:szCs w:val="20"/>
        </w:rPr>
        <w:t>s</w:t>
      </w:r>
      <w:r w:rsidR="00A9428D">
        <w:rPr>
          <w:szCs w:val="20"/>
        </w:rPr>
        <w:t>tem (MCS), där effekter avseende förseningar</w:t>
      </w:r>
      <w:r w:rsidR="0037732D">
        <w:rPr>
          <w:szCs w:val="20"/>
        </w:rPr>
        <w:t xml:space="preserve"> och trängsel beräknas och</w:t>
      </w:r>
      <w:r w:rsidR="00A9428D">
        <w:rPr>
          <w:szCs w:val="20"/>
        </w:rPr>
        <w:t xml:space="preserve"> värderas. </w:t>
      </w:r>
    </w:p>
    <w:p w:rsidR="00840369" w:rsidRPr="00840369" w:rsidRDefault="00A9428D" w:rsidP="00840369">
      <w:r>
        <w:t>Det går</w:t>
      </w:r>
      <w:r w:rsidR="00840369">
        <w:t xml:space="preserve"> givetvis att göra beräkningar av trafikstörningars kostnader för hand (d.v.s. utan hjälp av ett kalkylverktyg). VTI</w:t>
      </w:r>
      <w:r w:rsidR="0037732D">
        <w:t xml:space="preserve"> och MSB</w:t>
      </w:r>
      <w:r w:rsidR="00840369">
        <w:t xml:space="preserve"> beskriver exempelvis i en rapport från 2013 (”Kostnader för störningar i infrastrukturen – metodik och fallstudier på väg och järnväg”) hur man kan gå tillväga för att beräkna den samhällsekonomiska kostnaden för trafikstörningar. I rapporten beskrivs att e</w:t>
      </w:r>
      <w:r w:rsidR="00840369" w:rsidRPr="00840369">
        <w:t xml:space="preserve">tt ungefärligt antal förseningstimmar </w:t>
      </w:r>
      <w:r w:rsidR="00840369">
        <w:t xml:space="preserve">kan </w:t>
      </w:r>
      <w:r w:rsidR="00840369" w:rsidRPr="00840369">
        <w:t xml:space="preserve">beräknas genom </w:t>
      </w:r>
      <w:r w:rsidR="00840369" w:rsidRPr="00840369">
        <w:lastRenderedPageBreak/>
        <w:t xml:space="preserve">att jämföra restid från störningen i förhållande till normal restid utan störningar. När antalet förseningstimmar beräknats behövs information angående andel trafikarbete för fordonstyper, ärendefördelning för bil- och bussresenärer samt beläggningsgrad för bilar och bussar. Slutligen appliceras kalkylvärden från ASEK. </w:t>
      </w:r>
    </w:p>
    <w:p w:rsidR="00840369" w:rsidRDefault="00840369" w:rsidP="00840369">
      <w:r w:rsidRPr="00840369">
        <w:t xml:space="preserve">Ett exempel </w:t>
      </w:r>
      <w:r>
        <w:t xml:space="preserve">som </w:t>
      </w:r>
      <w:r w:rsidR="00EB45BA">
        <w:t xml:space="preserve">tas upp i rapporten är </w:t>
      </w:r>
      <w:r w:rsidRPr="00840369">
        <w:t xml:space="preserve">i samband med att en lastbil med krossmassor </w:t>
      </w:r>
      <w:r w:rsidR="00EB45BA">
        <w:t xml:space="preserve">välte </w:t>
      </w:r>
      <w:r w:rsidRPr="00840369">
        <w:t xml:space="preserve">i påfarten från Norrtull/Karolinska upp på E4 vid Haga södra den 28 maj 2012 </w:t>
      </w:r>
      <w:proofErr w:type="spellStart"/>
      <w:r w:rsidRPr="00840369">
        <w:t>kl</w:t>
      </w:r>
      <w:proofErr w:type="spellEnd"/>
      <w:r w:rsidRPr="00840369">
        <w:t xml:space="preserve"> 4:43. Uppskattningsvis ledde incidenten till 100 000 förseningstimmar och en ungefärlig samhällsekonomisk kostnad på 50 miljoner kronor (prisnivå 2010). </w:t>
      </w:r>
    </w:p>
    <w:p w:rsidR="007A56E2" w:rsidRPr="00840369" w:rsidRDefault="007A56E2" w:rsidP="007A56E2">
      <w:pPr>
        <w:autoSpaceDE w:val="0"/>
        <w:autoSpaceDN w:val="0"/>
        <w:spacing w:line="240" w:lineRule="auto"/>
      </w:pPr>
      <w:r>
        <w:t xml:space="preserve">Trafikverket jobbar kontinuerligt med robusthet och transportsystemets förmåga att motstå samt hantera störningar. För vägnätet beskrivs robusthet i antalet fordonstimmar till följd av totalstopp i trafiken. </w:t>
      </w:r>
      <w:r w:rsidRPr="005D4283">
        <w:t>Det som påverkar punktligheten på</w:t>
      </w:r>
      <w:r>
        <w:t xml:space="preserve"> </w:t>
      </w:r>
      <w:r w:rsidRPr="005D4283">
        <w:t>väg mest är totalstopp i trafiken som</w:t>
      </w:r>
      <w:r>
        <w:t xml:space="preserve"> </w:t>
      </w:r>
      <w:r w:rsidRPr="005D4283">
        <w:t>orsakas av oplanerade händelser. Dessa</w:t>
      </w:r>
      <w:r>
        <w:t xml:space="preserve"> </w:t>
      </w:r>
      <w:r w:rsidRPr="005D4283">
        <w:t>händelser kan vara både natur- och</w:t>
      </w:r>
      <w:r>
        <w:t xml:space="preserve"> </w:t>
      </w:r>
      <w:r w:rsidRPr="005D4283">
        <w:t>trafikrelaterade, till exempel översvämningar</w:t>
      </w:r>
      <w:r>
        <w:t xml:space="preserve"> </w:t>
      </w:r>
      <w:r w:rsidRPr="005D4283">
        <w:t xml:space="preserve">och olyckor. </w:t>
      </w:r>
      <w:r>
        <w:t xml:space="preserve">Trafikstörningar registreras i </w:t>
      </w:r>
      <w:r w:rsidRPr="003C017B">
        <w:rPr>
          <w:i/>
        </w:rPr>
        <w:t>Nationellt trafikledningsstöd</w:t>
      </w:r>
      <w:r>
        <w:t xml:space="preserve"> (NTS) och bearbetas sedan för att ta fram </w:t>
      </w:r>
      <w:proofErr w:type="spellStart"/>
      <w:r>
        <w:t>totalstoppsstatistik</w:t>
      </w:r>
      <w:proofErr w:type="spellEnd"/>
      <w:r>
        <w:t xml:space="preserve"> som</w:t>
      </w:r>
      <w:r w:rsidRPr="005E7F25">
        <w:t xml:space="preserve"> används för att följa upp utvecklingstrender.</w:t>
      </w:r>
      <w:r>
        <w:t xml:space="preserve"> Exempelvis används </w:t>
      </w:r>
      <w:proofErr w:type="spellStart"/>
      <w:r>
        <w:t>totalstoppsstatistiken</w:t>
      </w:r>
      <w:proofErr w:type="spellEnd"/>
      <w:r>
        <w:t xml:space="preserve"> till en månadsvis rapportering av robusthet på väg. För att kunna följa upp samtliga oplanerade händelser, även de som inte leder till totalstopp, sammanställs ett underlag som kallas </w:t>
      </w:r>
      <w:r w:rsidRPr="003D3427">
        <w:rPr>
          <w:i/>
        </w:rPr>
        <w:t>Trafikinformera snabbt</w:t>
      </w:r>
      <w:r>
        <w:t xml:space="preserve">. Statistiken som lagras i NTS används också av </w:t>
      </w:r>
      <w:r w:rsidRPr="003C017B">
        <w:rPr>
          <w:i/>
        </w:rPr>
        <w:t>Trafik Stockholm</w:t>
      </w:r>
      <w:r>
        <w:t xml:space="preserve"> som årligen tar fram en rapport angående störningar på vägnätet i Stockholm. Sedan 2016 redovisas även en uppföljning av totalstopp på väg i </w:t>
      </w:r>
      <w:r w:rsidRPr="00A602B3">
        <w:rPr>
          <w:i/>
        </w:rPr>
        <w:t>Årsredovisningen</w:t>
      </w:r>
      <w:r>
        <w:t>.</w:t>
      </w:r>
    </w:p>
    <w:p w:rsidR="00840369" w:rsidRPr="00840369" w:rsidRDefault="00840369" w:rsidP="00840369"/>
    <w:p w:rsidR="00D31868" w:rsidRDefault="00D31868">
      <w:pPr>
        <w:spacing w:before="0" w:line="240" w:lineRule="auto"/>
        <w:rPr>
          <w:rFonts w:ascii="Arial" w:hAnsi="Arial" w:cs="Arial"/>
          <w:b/>
          <w:bCs/>
          <w:iCs/>
          <w:sz w:val="24"/>
          <w:szCs w:val="22"/>
        </w:rPr>
      </w:pPr>
      <w:r>
        <w:br w:type="page"/>
      </w:r>
    </w:p>
    <w:p w:rsidR="0037732D" w:rsidRDefault="0037732D" w:rsidP="00C06DA3">
      <w:pPr>
        <w:pStyle w:val="Rubrik2"/>
      </w:pPr>
      <w:r>
        <w:lastRenderedPageBreak/>
        <w:t>Bilaga 1: Utdrag ur ASEK-rapporten och Trafikverkets utvecklingsplan för metoder, modeller och verktyg.</w:t>
      </w:r>
    </w:p>
    <w:p w:rsidR="00C06DA3" w:rsidRDefault="00C06DA3" w:rsidP="00C06DA3">
      <w:pPr>
        <w:pStyle w:val="Rubrik2"/>
      </w:pPr>
      <w:r>
        <w:t>Värdering av förseningar och osäker transporttid</w:t>
      </w:r>
    </w:p>
    <w:p w:rsidR="00C06DA3" w:rsidRDefault="00C06DA3" w:rsidP="00662658">
      <w:pPr>
        <w:pStyle w:val="Brdtext"/>
        <w:ind w:right="-58"/>
      </w:pPr>
      <w:r>
        <w:t>De kalkylvärden som används för att värdera effekter i Trafikverkets samhällsekonomiska kalkyler är de som rekommenderas av ASEK (Analysmetod och samhällsekonomiska kalkylvärden för transportsektorn).</w:t>
      </w:r>
      <w:r w:rsidR="00644EAD">
        <w:t xml:space="preserve"> De samhällsekonomiska värderingar som rekommenderas gällande förseningar, restidsosäkerhet samt trängsel redovisas nedan.</w:t>
      </w:r>
    </w:p>
    <w:p w:rsidR="0067143D" w:rsidRDefault="0067143D" w:rsidP="00662658">
      <w:pPr>
        <w:pStyle w:val="Brdtext"/>
        <w:ind w:right="-58"/>
        <w:rPr>
          <w:b/>
          <w:i/>
          <w:u w:val="single"/>
        </w:rPr>
      </w:pPr>
    </w:p>
    <w:p w:rsidR="00C06DA3" w:rsidRPr="006A52F5" w:rsidRDefault="00C06DA3" w:rsidP="00662658">
      <w:pPr>
        <w:pStyle w:val="Brdtext"/>
        <w:ind w:right="-58"/>
        <w:rPr>
          <w:b/>
          <w:i/>
          <w:u w:val="single"/>
        </w:rPr>
      </w:pPr>
      <w:r w:rsidRPr="006A52F5">
        <w:rPr>
          <w:b/>
          <w:i/>
          <w:u w:val="single"/>
        </w:rPr>
        <w:t>Rekommendation i nu gällande ASEK (6.0), kap 8</w:t>
      </w:r>
      <w:r w:rsidR="00941B53" w:rsidRPr="006A52F5">
        <w:rPr>
          <w:b/>
          <w:i/>
          <w:u w:val="single"/>
        </w:rPr>
        <w:t>”</w:t>
      </w:r>
      <w:r w:rsidRPr="006A52F5">
        <w:rPr>
          <w:b/>
          <w:i/>
          <w:u w:val="single"/>
        </w:rPr>
        <w:t xml:space="preserve"> Kostnad för trängsel och förseningar</w:t>
      </w:r>
      <w:r w:rsidR="00941B53" w:rsidRPr="006A52F5">
        <w:rPr>
          <w:b/>
          <w:i/>
          <w:u w:val="single"/>
        </w:rPr>
        <w:t>”</w:t>
      </w:r>
      <w:r w:rsidRPr="006A52F5">
        <w:rPr>
          <w:b/>
          <w:i/>
          <w:u w:val="single"/>
        </w:rPr>
        <w:t xml:space="preserve">: </w:t>
      </w:r>
    </w:p>
    <w:p w:rsidR="006A52F5" w:rsidRDefault="006A52F5" w:rsidP="00C06DA3">
      <w:pPr>
        <w:rPr>
          <w:rFonts w:cs="Georgia,Bold"/>
          <w:b/>
          <w:bCs/>
          <w:i/>
          <w:szCs w:val="20"/>
        </w:rPr>
      </w:pPr>
    </w:p>
    <w:p w:rsidR="00C06DA3" w:rsidRPr="006A52F5" w:rsidRDefault="00C06DA3" w:rsidP="00C06DA3">
      <w:pPr>
        <w:rPr>
          <w:rFonts w:cs="Georgia,Bold"/>
          <w:b/>
          <w:bCs/>
          <w:i/>
          <w:szCs w:val="20"/>
        </w:rPr>
      </w:pPr>
      <w:r w:rsidRPr="006A52F5">
        <w:rPr>
          <w:rFonts w:cs="Georgia,Bold"/>
          <w:b/>
          <w:bCs/>
          <w:i/>
          <w:szCs w:val="20"/>
        </w:rPr>
        <w:t>8.1. Värdering av förseningar och restidsosäkerhet för persontrafik</w:t>
      </w:r>
    </w:p>
    <w:p w:rsidR="006A52F5" w:rsidRDefault="00C06DA3" w:rsidP="006A52F5">
      <w:pPr>
        <w:rPr>
          <w:rFonts w:cs="Georgia,Bold"/>
          <w:bCs/>
          <w:i/>
          <w:szCs w:val="20"/>
        </w:rPr>
      </w:pPr>
      <w:r w:rsidRPr="00881169">
        <w:rPr>
          <w:rFonts w:cs="Georgia,Bold"/>
          <w:bCs/>
          <w:i/>
          <w:szCs w:val="20"/>
        </w:rPr>
        <w:t>ASEK rekommenderar</w:t>
      </w:r>
    </w:p>
    <w:p w:rsidR="00C06DA3" w:rsidRPr="006A52F5" w:rsidRDefault="00C06DA3" w:rsidP="006A52F5">
      <w:pPr>
        <w:rPr>
          <w:rFonts w:cs="Georgia,Bold"/>
          <w:bCs/>
          <w:i/>
          <w:szCs w:val="20"/>
        </w:rPr>
      </w:pPr>
      <w:r>
        <w:rPr>
          <w:rFonts w:cs="Georgia"/>
        </w:rPr>
        <w:t>Variation i restid för bil värderas utifrån restidens standardavvikelse (90 % av värdet för vanlig åktid). Endast vid störningar som innebär att infrastrukturen inte fungerar på ett normalt sätt ska genomsnittlig förseningstid värderas för bilresor (3,5 ggr värdet för vanlig åktid).</w:t>
      </w:r>
    </w:p>
    <w:p w:rsidR="00C06DA3" w:rsidRPr="00650073" w:rsidRDefault="00C06DA3" w:rsidP="00C06DA3">
      <w:pPr>
        <w:rPr>
          <w:rFonts w:cs="Georgia,Bold"/>
          <w:bCs/>
          <w:i/>
          <w:szCs w:val="20"/>
        </w:rPr>
      </w:pPr>
      <w:r w:rsidRPr="00650073">
        <w:rPr>
          <w:rFonts w:cs="Georgia,Bold"/>
          <w:bCs/>
          <w:i/>
          <w:szCs w:val="20"/>
        </w:rPr>
        <w:t>Bakgrund och motivering</w:t>
      </w:r>
    </w:p>
    <w:p w:rsidR="00C06DA3" w:rsidRDefault="00C06DA3" w:rsidP="00C06DA3">
      <w:pPr>
        <w:autoSpaceDE w:val="0"/>
        <w:autoSpaceDN w:val="0"/>
        <w:adjustRightInd w:val="0"/>
        <w:spacing w:line="240" w:lineRule="auto"/>
        <w:rPr>
          <w:rFonts w:cs="Georgia"/>
        </w:rPr>
      </w:pPr>
      <w:r>
        <w:rPr>
          <w:rFonts w:cs="Georgia"/>
        </w:rPr>
        <w:t>En viktig skillnad mellan bilresor och resor med kollektiva färdmedel är att bilresor sker utan tidtabell. Tidsåtgången för en bilresa varierar med faktorer som trafikbelastning och väder men detta ger inte upphov till några förseningar i egentlig mening. Dessutom, om man använder restidens medelvärde som mått på ”normal restid” är avvikelsen från detta i genomsnitt noll. Att värdera förseningstid för biltrafik är därför i de flesta fall inte relevant och inte heller praktiskt möjligt. Endast vid kraftiga störningar som innebär att infrastrukturen överhuvudtaget inte fungerar på ett normalt sätt är det meningsfullt att tala om och värdera förseningar för biltrafiken.</w:t>
      </w:r>
    </w:p>
    <w:p w:rsidR="006A52F5" w:rsidRPr="006A52F5" w:rsidRDefault="006A52F5" w:rsidP="006A52F5">
      <w:pPr>
        <w:rPr>
          <w:rFonts w:cs="Georgia,Bold"/>
          <w:b/>
          <w:bCs/>
          <w:i/>
          <w:szCs w:val="20"/>
        </w:rPr>
      </w:pPr>
      <w:r w:rsidRPr="006A52F5">
        <w:rPr>
          <w:rFonts w:cs="Georgia,Bold"/>
          <w:b/>
          <w:bCs/>
          <w:i/>
          <w:szCs w:val="20"/>
        </w:rPr>
        <w:t>8.2.1. Trängsel i biltrafiken</w:t>
      </w:r>
    </w:p>
    <w:p w:rsidR="006A52F5" w:rsidRDefault="006A52F5" w:rsidP="006A52F5">
      <w:pPr>
        <w:rPr>
          <w:rFonts w:ascii="Georgia,Bold" w:hAnsi="Georgia,Bold" w:cs="Georgia,Bold"/>
          <w:b/>
          <w:bCs/>
          <w:sz w:val="22"/>
          <w:szCs w:val="22"/>
        </w:rPr>
      </w:pPr>
      <w:r w:rsidRPr="006A52F5">
        <w:rPr>
          <w:rFonts w:cs="Georgia,Bold"/>
          <w:bCs/>
          <w:i/>
          <w:szCs w:val="20"/>
        </w:rPr>
        <w:t>ASEK rekommenderar</w:t>
      </w:r>
    </w:p>
    <w:p w:rsidR="006A52F5" w:rsidRPr="006A52F5" w:rsidRDefault="006A52F5" w:rsidP="006A52F5">
      <w:pPr>
        <w:rPr>
          <w:rFonts w:ascii="Georgia,Bold" w:hAnsi="Georgia,Bold" w:cs="Georgia,Bold"/>
          <w:b/>
          <w:bCs/>
          <w:sz w:val="22"/>
          <w:szCs w:val="22"/>
        </w:rPr>
      </w:pPr>
      <w:r>
        <w:rPr>
          <w:rFonts w:cs="Georgia"/>
          <w:sz w:val="22"/>
          <w:szCs w:val="22"/>
        </w:rPr>
        <w:lastRenderedPageBreak/>
        <w:t>Bilresor i trängsel på väg ska värderas till 1,5 ggr normalt åktidsvärde (se tabell 8.1 i föregående avsnitt). Värderingen av trängseltid ska adderas till värderingen av restidsosäkerhet (eller i förekommande fall förseningar) i de fall dessa effekter uppträder samtidigt. Värdering av trängseltid ska göras för privata resor, men inte för tjänsteresor. Rekommenderade trängseltidsvärden visas i tabell 8.3 i föregående avsnitt.</w:t>
      </w:r>
    </w:p>
    <w:p w:rsidR="00C06DA3" w:rsidRPr="006A52F5" w:rsidRDefault="00C06DA3" w:rsidP="00C06DA3">
      <w:pPr>
        <w:rPr>
          <w:rFonts w:cs="Georgia,Bold"/>
          <w:b/>
          <w:bCs/>
          <w:i/>
          <w:szCs w:val="20"/>
        </w:rPr>
      </w:pPr>
      <w:r w:rsidRPr="006A52F5">
        <w:rPr>
          <w:rFonts w:cs="Georgia,Bold"/>
          <w:b/>
          <w:bCs/>
          <w:i/>
          <w:szCs w:val="20"/>
        </w:rPr>
        <w:t>8.3. Förseningstidsvärden för godstransporter</w:t>
      </w:r>
    </w:p>
    <w:p w:rsidR="00C06DA3" w:rsidRPr="00C06DA3" w:rsidRDefault="00C06DA3" w:rsidP="00C06DA3">
      <w:pPr>
        <w:rPr>
          <w:rFonts w:cs="Georgia,Bold"/>
          <w:bCs/>
          <w:szCs w:val="20"/>
          <w:u w:val="single"/>
        </w:rPr>
      </w:pPr>
      <w:r w:rsidRPr="00275AD0">
        <w:rPr>
          <w:rFonts w:cs="Georgia,Bold"/>
          <w:bCs/>
          <w:i/>
          <w:szCs w:val="20"/>
        </w:rPr>
        <w:t>ASEK rekommenderar</w:t>
      </w:r>
    </w:p>
    <w:p w:rsidR="00C06DA3" w:rsidRPr="00C06DA3" w:rsidRDefault="00C06DA3" w:rsidP="00C06DA3">
      <w:pPr>
        <w:autoSpaceDE w:val="0"/>
        <w:autoSpaceDN w:val="0"/>
        <w:adjustRightInd w:val="0"/>
        <w:spacing w:line="240" w:lineRule="auto"/>
        <w:rPr>
          <w:rFonts w:cs="Georgia"/>
        </w:rPr>
      </w:pPr>
      <w:r w:rsidRPr="00C06DA3">
        <w:rPr>
          <w:rFonts w:cs="Georgia"/>
        </w:rPr>
        <w:t>Förseningstidsvärden för godstransporter beräknas genom att multiplicera godstidsvärden</w:t>
      </w:r>
      <w:r>
        <w:rPr>
          <w:rFonts w:cs="Georgia"/>
        </w:rPr>
        <w:t xml:space="preserve"> </w:t>
      </w:r>
      <w:r w:rsidRPr="00C06DA3">
        <w:rPr>
          <w:rFonts w:cs="Georgia"/>
        </w:rPr>
        <w:t>med faktorn 2.</w:t>
      </w:r>
    </w:p>
    <w:p w:rsidR="00C06DA3" w:rsidRPr="004A722C" w:rsidRDefault="00C06DA3" w:rsidP="00C06DA3">
      <w:pPr>
        <w:rPr>
          <w:rFonts w:cs="Georgia,Bold"/>
          <w:bCs/>
          <w:i/>
          <w:szCs w:val="20"/>
          <w:u w:val="single"/>
        </w:rPr>
      </w:pPr>
      <w:r w:rsidRPr="006A52F5">
        <w:rPr>
          <w:rFonts w:cs="Georgia,Bold"/>
          <w:b/>
          <w:bCs/>
          <w:i/>
          <w:szCs w:val="20"/>
        </w:rPr>
        <w:t>8.5. Värdering av sårbarhet i transportsystemet</w:t>
      </w:r>
    </w:p>
    <w:p w:rsidR="00C06DA3" w:rsidRPr="00275AD0" w:rsidRDefault="00C06DA3" w:rsidP="00C06DA3">
      <w:pPr>
        <w:spacing w:after="160" w:line="259" w:lineRule="auto"/>
        <w:rPr>
          <w:rFonts w:cs="Georgia,Bold"/>
          <w:bCs/>
          <w:i/>
          <w:szCs w:val="20"/>
        </w:rPr>
      </w:pPr>
      <w:r w:rsidRPr="00275AD0">
        <w:rPr>
          <w:rFonts w:cs="Georgia,Bold"/>
          <w:bCs/>
          <w:i/>
          <w:szCs w:val="20"/>
        </w:rPr>
        <w:t>ASEK rekommenderar</w:t>
      </w:r>
    </w:p>
    <w:p w:rsidR="00C06DA3" w:rsidRDefault="00C06DA3" w:rsidP="00C06DA3">
      <w:pPr>
        <w:autoSpaceDE w:val="0"/>
        <w:autoSpaceDN w:val="0"/>
        <w:adjustRightInd w:val="0"/>
        <w:spacing w:line="240" w:lineRule="auto"/>
        <w:rPr>
          <w:rFonts w:cs="Georgia"/>
        </w:rPr>
      </w:pPr>
      <w:r>
        <w:rPr>
          <w:rFonts w:cs="Georgia"/>
        </w:rPr>
        <w:t>I de fall då sårbarhetsaspekten är mycket uppenbar, rekommenderas att effekterna beskrivs kvalitativt samt om möjligt kvantifieras i termer av restidsförändringar.</w:t>
      </w:r>
    </w:p>
    <w:p w:rsidR="00C06DA3" w:rsidRPr="00275AD0" w:rsidRDefault="00C06DA3" w:rsidP="00C06DA3">
      <w:pPr>
        <w:spacing w:after="160" w:line="259" w:lineRule="auto"/>
        <w:rPr>
          <w:rFonts w:cs="Georgia,Bold"/>
          <w:bCs/>
          <w:i/>
          <w:szCs w:val="20"/>
        </w:rPr>
      </w:pPr>
      <w:r w:rsidRPr="00275AD0">
        <w:rPr>
          <w:rFonts w:cs="Georgia,Bold"/>
          <w:bCs/>
          <w:i/>
          <w:szCs w:val="20"/>
        </w:rPr>
        <w:t>Bakgrund och motivering</w:t>
      </w:r>
    </w:p>
    <w:p w:rsidR="00C06DA3" w:rsidRPr="00C06DA3" w:rsidRDefault="00C06DA3" w:rsidP="00C06DA3">
      <w:pPr>
        <w:autoSpaceDE w:val="0"/>
        <w:autoSpaceDN w:val="0"/>
        <w:adjustRightInd w:val="0"/>
        <w:spacing w:line="240" w:lineRule="auto"/>
        <w:rPr>
          <w:rFonts w:cs="Georgia"/>
        </w:rPr>
      </w:pPr>
      <w:r>
        <w:rPr>
          <w:rFonts w:cs="Georgia"/>
        </w:rPr>
        <w:t>Värdering av sårbarhet utgör ett specialfall av förseningsvärdering, avseende sällsynta händelser med mycket stora konsekvenser. Hittills finns ingen metod för att systematiskt försöka värdera dessa effekter. Men i de fall då sårbarhetsaspekten är mycket uppenbar, rekommenderas att effekterna beskrivs kvalitativt samt om möjligt kvantifieras i termer av restidsförändringar.</w:t>
      </w:r>
    </w:p>
    <w:p w:rsidR="00313DAA" w:rsidRDefault="00313DAA" w:rsidP="00313DAA">
      <w:pPr>
        <w:pStyle w:val="Rubrik2"/>
      </w:pPr>
      <w:r>
        <w:t>Behov av utveckling</w:t>
      </w:r>
    </w:p>
    <w:p w:rsidR="00924E80" w:rsidRDefault="00313DAA" w:rsidP="00313DAA">
      <w:pPr>
        <w:pStyle w:val="Brdtext"/>
      </w:pPr>
      <w:r>
        <w:t xml:space="preserve">Som beskrivits ovan är det i teorin inga problem att beräkna den samhällsekonomiska kostnaden </w:t>
      </w:r>
      <w:r w:rsidR="00924E80">
        <w:t xml:space="preserve">av trafikstörningar. För att kunna göra denna beräkning i praktiken behövs dock både beräkning av antalet förseningstimmar samt en samhällsekonomisk värdering per förseningstimme och trängseltidstimme. </w:t>
      </w:r>
    </w:p>
    <w:p w:rsidR="00924E80" w:rsidRDefault="00924E80" w:rsidP="00924E80">
      <w:pPr>
        <w:pStyle w:val="Brdtext"/>
      </w:pPr>
      <w:r>
        <w:t xml:space="preserve">Värderingar för trängsel och förseningar finns i ASEK (Analysmetod och samhällsekonomiska kalkylvärden för transportsektorn), för såväl persontrafik som godstrafik. Däremot beräknar Trafikverkets vi dagsläget inte effekter gällande trängsel, restidsosäkerhet och </w:t>
      </w:r>
      <w:r>
        <w:lastRenderedPageBreak/>
        <w:t>oväntade incidenter. Be</w:t>
      </w:r>
      <w:r w:rsidR="002C50BD">
        <w:t>h</w:t>
      </w:r>
      <w:r>
        <w:t>ovet av utveckling av kalkylverktygen beskrivs i Trafikverkets utvecklingsplan för metoder, modeller och verktyg – ”</w:t>
      </w:r>
      <w:r w:rsidRPr="00924E80">
        <w:t>Trafikslagsövergripande plan för utveckling av metoder, modeller och verktyg – för analys av samhällsekonomi, järnvägskapacitet, effektsamband och statistik samt för trafik- och transportprognoser</w:t>
      </w:r>
      <w:r>
        <w:t xml:space="preserve">” </w:t>
      </w:r>
    </w:p>
    <w:p w:rsidR="002C50BD" w:rsidRPr="00313DAA" w:rsidRDefault="002C50BD" w:rsidP="00924E80">
      <w:pPr>
        <w:pStyle w:val="Brdtext"/>
      </w:pPr>
      <w:r>
        <w:t>Vidare har man i utvecklingsplanen även identifierat ett utvecklingsbehov när det gäller värdering av förseningar och osäkra transporttider för gods.</w:t>
      </w:r>
    </w:p>
    <w:p w:rsidR="0084768D" w:rsidRDefault="0084768D" w:rsidP="00924E80">
      <w:pPr>
        <w:pStyle w:val="CitatGeorgia"/>
        <w:rPr>
          <w:b/>
          <w:i w:val="0"/>
          <w:szCs w:val="20"/>
        </w:rPr>
      </w:pPr>
    </w:p>
    <w:p w:rsidR="00924E80" w:rsidRPr="00924E80" w:rsidRDefault="00924E80" w:rsidP="00924E80">
      <w:pPr>
        <w:pStyle w:val="CitatGeorgia"/>
        <w:rPr>
          <w:b/>
          <w:i w:val="0"/>
          <w:szCs w:val="20"/>
        </w:rPr>
      </w:pPr>
      <w:r w:rsidRPr="00924E80">
        <w:rPr>
          <w:b/>
          <w:i w:val="0"/>
          <w:szCs w:val="20"/>
        </w:rPr>
        <w:t>Trafikverkets utvecklingsplan för metoder, modeller och verktyg</w:t>
      </w:r>
    </w:p>
    <w:p w:rsidR="00313DAA" w:rsidRPr="0084768D" w:rsidRDefault="00313DAA" w:rsidP="00313DAA">
      <w:pPr>
        <w:pStyle w:val="Brdtext"/>
        <w:rPr>
          <w:i/>
          <w:szCs w:val="20"/>
        </w:rPr>
      </w:pPr>
      <w:r w:rsidRPr="0084768D">
        <w:rPr>
          <w:i/>
          <w:szCs w:val="20"/>
        </w:rPr>
        <w:t>3.3 Effektsamband väg</w:t>
      </w:r>
    </w:p>
    <w:p w:rsidR="00313DAA" w:rsidRDefault="00313DAA" w:rsidP="00313DAA">
      <w:pPr>
        <w:pStyle w:val="Brdtext"/>
        <w:rPr>
          <w:b/>
          <w:bCs/>
          <w:szCs w:val="20"/>
        </w:rPr>
      </w:pPr>
      <w:r>
        <w:rPr>
          <w:b/>
          <w:bCs/>
          <w:szCs w:val="20"/>
        </w:rPr>
        <w:t>Beräkning av oväntade incidenter</w:t>
      </w:r>
    </w:p>
    <w:p w:rsidR="00924E80" w:rsidRDefault="00313DAA" w:rsidP="00313DAA">
      <w:pPr>
        <w:autoSpaceDE w:val="0"/>
        <w:autoSpaceDN w:val="0"/>
        <w:adjustRightInd w:val="0"/>
        <w:spacing w:line="240" w:lineRule="auto"/>
        <w:rPr>
          <w:rFonts w:cs="Georgia"/>
        </w:rPr>
      </w:pPr>
      <w:r w:rsidRPr="00313DAA">
        <w:rPr>
          <w:rFonts w:cs="Georgia"/>
        </w:rPr>
        <w:t xml:space="preserve">Trafikverkets verktyg hanterar effekter av oväntade incidenter på olika sätt. Idag finns ingen beräkning för trängsel, restidsosäkerhet, oväntade incidenter men värdering finns. </w:t>
      </w:r>
    </w:p>
    <w:p w:rsidR="00313DAA" w:rsidRDefault="00313DAA" w:rsidP="00313DAA">
      <w:pPr>
        <w:autoSpaceDE w:val="0"/>
        <w:autoSpaceDN w:val="0"/>
        <w:adjustRightInd w:val="0"/>
        <w:spacing w:line="240" w:lineRule="auto"/>
        <w:rPr>
          <w:rFonts w:cs="Georgia"/>
        </w:rPr>
      </w:pPr>
      <w:r w:rsidRPr="00313DAA">
        <w:rPr>
          <w:rFonts w:cs="Georgia"/>
        </w:rPr>
        <w:t>EVA</w:t>
      </w:r>
      <w:r>
        <w:rPr>
          <w:rFonts w:cs="Georgia"/>
        </w:rPr>
        <w:t xml:space="preserve"> (Effekter vid väganalys) </w:t>
      </w:r>
      <w:r w:rsidRPr="00313DAA">
        <w:rPr>
          <w:rFonts w:cs="Georgia"/>
        </w:rPr>
        <w:t>räknar idag restid (</w:t>
      </w:r>
      <w:proofErr w:type="spellStart"/>
      <w:r w:rsidRPr="00313DAA">
        <w:rPr>
          <w:rFonts w:cs="Georgia"/>
        </w:rPr>
        <w:t>reshastighet</w:t>
      </w:r>
      <w:proofErr w:type="spellEnd"/>
      <w:r w:rsidRPr="00313DAA">
        <w:rPr>
          <w:rFonts w:cs="Georgia"/>
        </w:rPr>
        <w:t>) med fyra ranger (grupp av timmar). I storstadsområden där trängsel kan förekomma borde en noggrannare beräkning göras. Förslag, att om kapaciteten i första rangen (aktuellt timflöde/kapacitetsflödet &gt; x) når över x så ökas antalet ranger till 20 (eller 40). Det ger oss en mer korrekt restid och en uppfattning om antalet trängseltimmar. Denna trängseltid redovisas separat och har egen värdering. Att hastigheten aldrig går ner till noll och att köer inte blockerar korsningar är också brister i EVA.</w:t>
      </w:r>
    </w:p>
    <w:p w:rsidR="002C50BD" w:rsidRDefault="002C50BD" w:rsidP="00313DAA">
      <w:pPr>
        <w:pStyle w:val="Default"/>
        <w:rPr>
          <w:sz w:val="20"/>
          <w:szCs w:val="20"/>
        </w:rPr>
      </w:pPr>
    </w:p>
    <w:p w:rsidR="0037732D" w:rsidRDefault="00313DAA" w:rsidP="00313DAA">
      <w:pPr>
        <w:pStyle w:val="Default"/>
        <w:rPr>
          <w:sz w:val="20"/>
          <w:szCs w:val="20"/>
        </w:rPr>
      </w:pPr>
      <w:r>
        <w:rPr>
          <w:sz w:val="20"/>
          <w:szCs w:val="20"/>
        </w:rPr>
        <w:t xml:space="preserve">Förslag på medellång sikt: ta fram data och modell för att beräkna effekter av trängsel, restidsosäkerhet och incidenter och implementera i relevanta verktyg. </w:t>
      </w:r>
    </w:p>
    <w:p w:rsidR="0037732D" w:rsidRDefault="0037732D">
      <w:pPr>
        <w:spacing w:before="0" w:line="240" w:lineRule="auto"/>
        <w:rPr>
          <w:rFonts w:cs="Georgia"/>
          <w:color w:val="000000"/>
          <w:szCs w:val="20"/>
        </w:rPr>
      </w:pPr>
      <w:r>
        <w:rPr>
          <w:szCs w:val="20"/>
        </w:rPr>
        <w:br w:type="page"/>
      </w:r>
    </w:p>
    <w:p w:rsidR="00313DAA" w:rsidRDefault="0037732D" w:rsidP="0037732D">
      <w:pPr>
        <w:pStyle w:val="Rubrik1"/>
      </w:pPr>
      <w:r>
        <w:lastRenderedPageBreak/>
        <w:t>Referenser</w:t>
      </w:r>
    </w:p>
    <w:p w:rsidR="0037732D" w:rsidRDefault="0037732D" w:rsidP="0037732D">
      <w:pPr>
        <w:pStyle w:val="Brdtext"/>
      </w:pPr>
      <w:r>
        <w:t>ASEK (2016), Analysmetod och samhällsekonomiska kalkylvärden för transportsektorn 6.0, Trafikverket.</w:t>
      </w:r>
    </w:p>
    <w:p w:rsidR="0037732D" w:rsidRDefault="0037732D" w:rsidP="0037732D">
      <w:pPr>
        <w:pStyle w:val="Brdtext"/>
      </w:pPr>
      <w:r>
        <w:t xml:space="preserve">Trafikverket (2017), </w:t>
      </w:r>
      <w:r w:rsidRPr="00924E80">
        <w:t xml:space="preserve">Trafikslagsövergripande plan för utveckling av metoder, modeller och verktyg – för analys av samhällsekonomi, järnvägskapacitet, effektsamband och statistik samt för trafik- och </w:t>
      </w:r>
      <w:bookmarkStart w:id="3" w:name="_GoBack"/>
      <w:bookmarkEnd w:id="3"/>
      <w:r w:rsidRPr="00924E80">
        <w:t>transportprognoser</w:t>
      </w:r>
      <w:r>
        <w:t>, Trafikverket.</w:t>
      </w:r>
    </w:p>
    <w:p w:rsidR="0037732D" w:rsidRDefault="0037732D" w:rsidP="0037732D">
      <w:pPr>
        <w:pStyle w:val="Brdtext"/>
      </w:pPr>
      <w:r>
        <w:t>MSB/VTI (2013), Kostnader för störningar i infrastrukturen – Metodik och fallstudier på väg och järnväg, Myndigheten för samhällsskydd och beredskap/Statens väg- och transportforskningsinstitut.</w:t>
      </w:r>
    </w:p>
    <w:p w:rsidR="007B21B8" w:rsidRDefault="007B21B8" w:rsidP="007A56E2">
      <w:pPr>
        <w:pStyle w:val="Brdtext"/>
        <w:ind w:right="-58"/>
      </w:pPr>
      <w:r>
        <w:t>Trafikverket (2017), Trafikverkets å</w:t>
      </w:r>
      <w:r w:rsidR="007A56E2">
        <w:t>rsredovisning</w:t>
      </w:r>
      <w:r>
        <w:t xml:space="preserve"> </w:t>
      </w:r>
      <w:r w:rsidR="007A56E2">
        <w:t>2016</w:t>
      </w:r>
      <w:r>
        <w:t>, Trafikverket</w:t>
      </w:r>
      <w:r w:rsidR="007A56E2">
        <w:t xml:space="preserve">. </w:t>
      </w:r>
      <w:hyperlink r:id="rId11" w:history="1">
        <w:r w:rsidRPr="004A2EC1">
          <w:rPr>
            <w:rStyle w:val="Hyperlnk"/>
          </w:rPr>
          <w:t>https://trafikverket.ineko.se/Files/sv-SE/19581/Ineko.Product.RelatedFiles/2017_095_TRV_Årsredovisning_2016.pdf</w:t>
        </w:r>
      </w:hyperlink>
    </w:p>
    <w:p w:rsidR="007B21B8" w:rsidRDefault="007B21B8" w:rsidP="007A56E2">
      <w:pPr>
        <w:pStyle w:val="Brdtext"/>
        <w:ind w:right="-58"/>
      </w:pPr>
      <w:r>
        <w:t xml:space="preserve">Trafik Stockholm (2018), Störningsrapporten 2017, Trafik Stockholm. </w:t>
      </w:r>
      <w:hyperlink r:id="rId12" w:history="1">
        <w:r w:rsidRPr="004A2EC1">
          <w:rPr>
            <w:rStyle w:val="Hyperlnk"/>
          </w:rPr>
          <w:t>https://trafiken.nu/globalassets/stockholm/dokument/storningsrapporten_2017.pdf</w:t>
        </w:r>
      </w:hyperlink>
    </w:p>
    <w:p w:rsidR="007B21B8" w:rsidRDefault="007B21B8" w:rsidP="007A56E2">
      <w:pPr>
        <w:pStyle w:val="Brdtext"/>
        <w:ind w:right="-58"/>
      </w:pPr>
    </w:p>
    <w:p w:rsidR="007A56E2" w:rsidRDefault="007A56E2" w:rsidP="0037732D">
      <w:pPr>
        <w:pStyle w:val="Brdtext"/>
      </w:pPr>
    </w:p>
    <w:p w:rsidR="0037732D" w:rsidRPr="0037732D" w:rsidRDefault="0037732D" w:rsidP="0037732D">
      <w:pPr>
        <w:pStyle w:val="Brdtext"/>
      </w:pPr>
    </w:p>
    <w:p w:rsidR="0084768D" w:rsidRDefault="0084768D" w:rsidP="00313DAA">
      <w:pPr>
        <w:pStyle w:val="Default"/>
        <w:rPr>
          <w:sz w:val="20"/>
          <w:szCs w:val="20"/>
        </w:rPr>
      </w:pPr>
    </w:p>
    <w:p w:rsidR="0084768D" w:rsidRDefault="0084768D" w:rsidP="00313DAA">
      <w:pPr>
        <w:pStyle w:val="Default"/>
        <w:rPr>
          <w:sz w:val="20"/>
          <w:szCs w:val="20"/>
        </w:rPr>
      </w:pPr>
    </w:p>
    <w:sectPr w:rsidR="0084768D" w:rsidSect="0047047A">
      <w:headerReference w:type="default" r:id="rId13"/>
      <w:footerReference w:type="default" r:id="rId14"/>
      <w:headerReference w:type="first" r:id="rId15"/>
      <w:footerReference w:type="first" r:id="rId16"/>
      <w:type w:val="continuous"/>
      <w:pgSz w:w="11906" w:h="16838" w:code="9"/>
      <w:pgMar w:top="1985" w:right="2835" w:bottom="1701" w:left="1191"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A3" w:rsidRDefault="00C06DA3">
      <w:r>
        <w:separator/>
      </w:r>
    </w:p>
  </w:endnote>
  <w:endnote w:type="continuationSeparator" w:id="0">
    <w:p w:rsidR="00C06DA3" w:rsidRDefault="00C0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0E3246" w:rsidTr="00140080">
      <w:trPr>
        <w:trHeight w:val="431"/>
      </w:trPr>
      <w:tc>
        <w:tcPr>
          <w:tcW w:w="10314" w:type="dxa"/>
          <w:tcBorders>
            <w:top w:val="nil"/>
            <w:left w:val="nil"/>
            <w:bottom w:val="nil"/>
            <w:right w:val="nil"/>
          </w:tcBorders>
        </w:tcPr>
        <w:tbl>
          <w:tblPr>
            <w:tblW w:w="10348" w:type="dxa"/>
            <w:tblBorders>
              <w:top w:val="single" w:sz="4" w:space="0" w:color="auto"/>
            </w:tblBorders>
            <w:tblCellMar>
              <w:top w:w="28" w:type="dxa"/>
            </w:tblCellMar>
            <w:tblLook w:val="01E0" w:firstRow="1" w:lastRow="1" w:firstColumn="1" w:lastColumn="1" w:noHBand="0" w:noVBand="0"/>
          </w:tblPr>
          <w:tblGrid>
            <w:gridCol w:w="3135"/>
            <w:gridCol w:w="3450"/>
            <w:gridCol w:w="3763"/>
          </w:tblGrid>
          <w:tr w:rsidR="000E3246" w:rsidRPr="00BD5CAF" w:rsidTr="004A007C">
            <w:trPr>
              <w:trHeight w:val="430"/>
            </w:trPr>
            <w:tc>
              <w:tcPr>
                <w:tcW w:w="2835" w:type="dxa"/>
              </w:tcPr>
              <w:p w:rsidR="000E3246" w:rsidRPr="00BB3F3C" w:rsidRDefault="000E3246" w:rsidP="00635326">
                <w:pPr>
                  <w:pStyle w:val="Sidhuvud"/>
                  <w:tabs>
                    <w:tab w:val="clear" w:pos="4536"/>
                    <w:tab w:val="clear" w:pos="9072"/>
                  </w:tabs>
                  <w:ind w:left="-113"/>
                  <w:jc w:val="left"/>
                  <w:rPr>
                    <w:rFonts w:cs="Arial"/>
                    <w:b/>
                    <w:szCs w:val="16"/>
                  </w:rPr>
                </w:pPr>
                <w:bookmarkStart w:id="4" w:name="foretag"/>
                <w:bookmarkEnd w:id="4"/>
              </w:p>
            </w:tc>
            <w:tc>
              <w:tcPr>
                <w:tcW w:w="3119" w:type="dxa"/>
              </w:tcPr>
              <w:p w:rsidR="000E3246" w:rsidRPr="00BB3F3C" w:rsidRDefault="000E3246" w:rsidP="00635326">
                <w:pPr>
                  <w:pStyle w:val="Sidfot"/>
                  <w:ind w:left="-108"/>
                  <w:rPr>
                    <w:rFonts w:ascii="Arial" w:hAnsi="Arial" w:cs="Arial"/>
                    <w:sz w:val="16"/>
                    <w:szCs w:val="16"/>
                  </w:rPr>
                </w:pPr>
                <w:bookmarkStart w:id="5" w:name="telvxl"/>
                <w:bookmarkStart w:id="6" w:name="texttel"/>
                <w:bookmarkEnd w:id="5"/>
                <w:bookmarkEnd w:id="6"/>
              </w:p>
            </w:tc>
            <w:tc>
              <w:tcPr>
                <w:tcW w:w="3402" w:type="dxa"/>
              </w:tcPr>
              <w:p w:rsidR="000E3246" w:rsidRPr="00F809B1" w:rsidRDefault="000E3246" w:rsidP="00635326">
                <w:pPr>
                  <w:pStyle w:val="Sidhuvud"/>
                  <w:tabs>
                    <w:tab w:val="clear" w:pos="4536"/>
                    <w:tab w:val="clear" w:pos="9072"/>
                    <w:tab w:val="left" w:pos="1021"/>
                  </w:tabs>
                  <w:ind w:left="-108"/>
                  <w:jc w:val="left"/>
                  <w:rPr>
                    <w:rFonts w:cs="Arial"/>
                    <w:szCs w:val="2"/>
                  </w:rPr>
                </w:pPr>
                <w:bookmarkStart w:id="7" w:name="personligt"/>
                <w:bookmarkEnd w:id="7"/>
              </w:p>
            </w:tc>
          </w:tr>
        </w:tbl>
        <w:p w:rsidR="000E3246" w:rsidRPr="00A053ED" w:rsidRDefault="000E3246" w:rsidP="008E2D96">
          <w:pPr>
            <w:pStyle w:val="Sidfot"/>
            <w:jc w:val="right"/>
            <w:rPr>
              <w:rFonts w:ascii="Arial" w:hAnsi="Arial" w:cs="Arial"/>
              <w:sz w:val="16"/>
              <w:szCs w:val="16"/>
            </w:rPr>
          </w:pPr>
        </w:p>
      </w:tc>
    </w:tr>
  </w:tbl>
  <w:p w:rsidR="000E3246" w:rsidRPr="004E2F82" w:rsidRDefault="00153082" w:rsidP="00177194">
    <w:pPr>
      <w:spacing w:line="240" w:lineRule="auto"/>
      <w:rPr>
        <w:sz w:val="2"/>
        <w:szCs w:val="2"/>
      </w:rPr>
    </w:pPr>
    <w:r>
      <w:rPr>
        <w:noProof/>
        <w:sz w:val="2"/>
        <w:szCs w:val="2"/>
      </w:rPr>
      <mc:AlternateContent>
        <mc:Choice Requires="wps">
          <w:drawing>
            <wp:anchor distT="0" distB="0" distL="114300" distR="114300" simplePos="0" relativeHeight="251707392" behindDoc="0" locked="0" layoutInCell="1" allowOverlap="1">
              <wp:simplePos x="0" y="0"/>
              <wp:positionH relativeFrom="column">
                <wp:posOffset>-733425</wp:posOffset>
              </wp:positionH>
              <wp:positionV relativeFrom="paragraph">
                <wp:posOffset>-2174875</wp:posOffset>
              </wp:positionV>
              <wp:extent cx="4572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w:t>
                          </w:r>
                          <w:r w:rsidR="00F949DB">
                            <w:rPr>
                              <w:rFonts w:ascii="Arial" w:hAnsi="Arial" w:cs="Arial"/>
                              <w:color w:val="808080" w:themeColor="background1" w:themeShade="80"/>
                              <w:sz w:val="14"/>
                              <w:szCs w:val="14"/>
                            </w:rPr>
                            <w:t xml:space="preserve">MALL 0423 </w:t>
                          </w:r>
                          <w:r w:rsidR="00A07A58">
                            <w:rPr>
                              <w:rFonts w:ascii="Arial" w:hAnsi="Arial" w:cs="Arial"/>
                              <w:color w:val="808080" w:themeColor="background1" w:themeShade="80"/>
                              <w:sz w:val="14"/>
                              <w:szCs w:val="14"/>
                            </w:rPr>
                            <w:t xml:space="preserve">PM v </w:t>
                          </w:r>
                          <w:r w:rsidR="00F949DB">
                            <w:rPr>
                              <w:rFonts w:ascii="Arial" w:hAnsi="Arial" w:cs="Arial"/>
                              <w:color w:val="808080" w:themeColor="background1" w:themeShade="80"/>
                              <w:sz w:val="14"/>
                              <w:szCs w:val="14"/>
                            </w:rPr>
                            <w:t>1</w:t>
                          </w:r>
                          <w:r w:rsidR="00A07A58">
                            <w:rPr>
                              <w:rFonts w:ascii="Arial" w:hAnsi="Arial" w:cs="Arial"/>
                              <w:color w:val="808080" w:themeColor="background1" w:themeShade="80"/>
                              <w:sz w:val="14"/>
                              <w:szCs w:val="14"/>
                            </w:rPr>
                            <w:t>.0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75pt;margin-top:-171.25pt;width:36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" stroked="f">
              <v:textbox style="layout-flow:vertical;mso-layout-flow-alt:bottom-to-top">
                <w:txbxContent>
                  <w:p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w:t>
                    </w:r>
                    <w:r w:rsidR="00F949DB">
                      <w:rPr>
                        <w:rFonts w:ascii="Arial" w:hAnsi="Arial" w:cs="Arial"/>
                        <w:color w:val="808080" w:themeColor="background1" w:themeShade="80"/>
                        <w:sz w:val="14"/>
                        <w:szCs w:val="14"/>
                      </w:rPr>
                      <w:t xml:space="preserve">MALL 0423 </w:t>
                    </w:r>
                    <w:r w:rsidR="00A07A58">
                      <w:rPr>
                        <w:rFonts w:ascii="Arial" w:hAnsi="Arial" w:cs="Arial"/>
                        <w:color w:val="808080" w:themeColor="background1" w:themeShade="80"/>
                        <w:sz w:val="14"/>
                        <w:szCs w:val="14"/>
                      </w:rPr>
                      <w:t xml:space="preserve">PM v </w:t>
                    </w:r>
                    <w:r w:rsidR="00F949DB">
                      <w:rPr>
                        <w:rFonts w:ascii="Arial" w:hAnsi="Arial" w:cs="Arial"/>
                        <w:color w:val="808080" w:themeColor="background1" w:themeShade="80"/>
                        <w:sz w:val="14"/>
                        <w:szCs w:val="14"/>
                      </w:rPr>
                      <w:t>1</w:t>
                    </w:r>
                    <w:r w:rsidR="00A07A58">
                      <w:rPr>
                        <w:rFonts w:ascii="Arial" w:hAnsi="Arial" w:cs="Arial"/>
                        <w:color w:val="808080" w:themeColor="background1" w:themeShade="80"/>
                        <w:sz w:val="14"/>
                        <w:szCs w:val="14"/>
                      </w:rPr>
                      <w:t>.0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46" w:rsidRPr="002F6642" w:rsidRDefault="000E3246" w:rsidP="002F6642">
    <w:pPr>
      <w:spacing w:line="240" w:lineRule="auto"/>
      <w:rPr>
        <w:sz w:val="2"/>
        <w:szCs w:val="2"/>
      </w:rPr>
    </w:pPr>
  </w:p>
  <w:tbl>
    <w:tblPr>
      <w:tblW w:w="10769" w:type="dxa"/>
      <w:tblInd w:w="-559" w:type="dxa"/>
      <w:tblBorders>
        <w:top w:val="single" w:sz="4" w:space="0" w:color="auto"/>
      </w:tblBorders>
      <w:tblCellMar>
        <w:top w:w="28" w:type="dxa"/>
      </w:tblCellMar>
      <w:tblLook w:val="01E0" w:firstRow="1" w:lastRow="1" w:firstColumn="1" w:lastColumn="1" w:noHBand="0" w:noVBand="0"/>
    </w:tblPr>
    <w:tblGrid>
      <w:gridCol w:w="3502"/>
      <w:gridCol w:w="3261"/>
      <w:gridCol w:w="4006"/>
    </w:tblGrid>
    <w:tr w:rsidR="000E3246" w:rsidRPr="00977374" w:rsidTr="00977374">
      <w:trPr>
        <w:trHeight w:val="430"/>
      </w:trPr>
      <w:tc>
        <w:tcPr>
          <w:tcW w:w="3502" w:type="dxa"/>
        </w:tcPr>
        <w:p w:rsidR="000E3246" w:rsidRPr="00977374" w:rsidRDefault="000E3246" w:rsidP="001C6DA3">
          <w:pPr>
            <w:pStyle w:val="Sidhuvud"/>
            <w:tabs>
              <w:tab w:val="clear" w:pos="4536"/>
              <w:tab w:val="clear" w:pos="9072"/>
            </w:tabs>
            <w:jc w:val="left"/>
            <w:rPr>
              <w:rFonts w:cs="Arial"/>
              <w:b/>
              <w:szCs w:val="16"/>
            </w:rPr>
          </w:pPr>
        </w:p>
      </w:tc>
      <w:tc>
        <w:tcPr>
          <w:tcW w:w="3261" w:type="dxa"/>
        </w:tcPr>
        <w:p w:rsidR="000E3246" w:rsidRPr="00977374" w:rsidRDefault="000E3246" w:rsidP="001C6DA3">
          <w:pPr>
            <w:pStyle w:val="Sidfot"/>
            <w:rPr>
              <w:rFonts w:ascii="Arial" w:hAnsi="Arial" w:cs="Arial"/>
              <w:sz w:val="16"/>
              <w:szCs w:val="16"/>
            </w:rPr>
          </w:pPr>
        </w:p>
      </w:tc>
      <w:tc>
        <w:tcPr>
          <w:tcW w:w="4006" w:type="dxa"/>
        </w:tcPr>
        <w:p w:rsidR="000E3246" w:rsidRPr="00977374" w:rsidRDefault="000E3246" w:rsidP="001C6DA3">
          <w:pPr>
            <w:pStyle w:val="Sidhuvud"/>
            <w:tabs>
              <w:tab w:val="clear" w:pos="4536"/>
              <w:tab w:val="clear" w:pos="9072"/>
              <w:tab w:val="left" w:pos="1021"/>
            </w:tabs>
            <w:jc w:val="left"/>
            <w:rPr>
              <w:rFonts w:cs="Arial"/>
              <w:szCs w:val="2"/>
            </w:rPr>
          </w:pPr>
          <w:bookmarkStart w:id="8" w:name="person"/>
          <w:bookmarkEnd w:id="8"/>
        </w:p>
      </w:tc>
    </w:tr>
  </w:tbl>
  <w:p w:rsidR="000E3246" w:rsidRDefault="000E3246" w:rsidP="00DB18BF">
    <w:pPr>
      <w:spacing w:line="240" w:lineRule="auto"/>
      <w:rPr>
        <w:sz w:val="2"/>
        <w:szCs w:val="2"/>
      </w:rPr>
    </w:pPr>
  </w:p>
  <w:p w:rsidR="000E3246" w:rsidRPr="008E2D96" w:rsidRDefault="000E3246"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A3" w:rsidRDefault="00C06DA3">
      <w:r>
        <w:separator/>
      </w:r>
    </w:p>
  </w:footnote>
  <w:footnote w:type="continuationSeparator" w:id="0">
    <w:p w:rsidR="00C06DA3" w:rsidRDefault="00C0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Look w:val="04A0" w:firstRow="1" w:lastRow="0" w:firstColumn="1" w:lastColumn="0" w:noHBand="0" w:noVBand="1"/>
    </w:tblPr>
    <w:tblGrid>
      <w:gridCol w:w="5211"/>
      <w:gridCol w:w="1479"/>
    </w:tblGrid>
    <w:tr w:rsidR="00343435" w:rsidTr="0037512B">
      <w:tc>
        <w:tcPr>
          <w:tcW w:w="5211" w:type="dxa"/>
          <w:tcBorders>
            <w:top w:val="nil"/>
            <w:left w:val="nil"/>
            <w:bottom w:val="nil"/>
            <w:right w:val="nil"/>
          </w:tcBorders>
        </w:tcPr>
        <w:p w:rsidR="00343435" w:rsidRPr="003E23A2" w:rsidRDefault="00343435"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sz w:val="26"/>
              <w:szCs w:val="26"/>
            </w:rPr>
          </w:pPr>
        </w:p>
      </w:tc>
      <w:tc>
        <w:tcPr>
          <w:tcW w:w="1479" w:type="dxa"/>
          <w:tcBorders>
            <w:top w:val="nil"/>
            <w:left w:val="nil"/>
            <w:bottom w:val="nil"/>
            <w:right w:val="nil"/>
          </w:tcBorders>
        </w:tcPr>
        <w:p w:rsidR="00343435" w:rsidRPr="00710238" w:rsidRDefault="0037512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26"/>
              <w:szCs w:val="26"/>
            </w:rPr>
          </w:pPr>
          <w:r w:rsidRPr="00710238">
            <w:rPr>
              <w:rFonts w:cs="Arial"/>
              <w:noProof/>
              <w:sz w:val="26"/>
              <w:szCs w:val="26"/>
            </w:rPr>
            <w:drawing>
              <wp:anchor distT="0" distB="0" distL="114300" distR="114300" simplePos="0" relativeHeight="251658752" behindDoc="1" locked="0" layoutInCell="1" allowOverlap="1" wp14:anchorId="7E605721" wp14:editId="50FB864C">
                <wp:simplePos x="0" y="0"/>
                <wp:positionH relativeFrom="column">
                  <wp:posOffset>1495425</wp:posOffset>
                </wp:positionH>
                <wp:positionV relativeFrom="paragraph">
                  <wp:posOffset>-337820</wp:posOffset>
                </wp:positionV>
                <wp:extent cx="1771650" cy="1181100"/>
                <wp:effectExtent l="19050" t="0" r="0" b="0"/>
                <wp:wrapNone/>
                <wp:docPr id="8"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710238" w:rsidRPr="00710238">
            <w:rPr>
              <w:rFonts w:cs="Arial"/>
              <w:noProof/>
              <w:sz w:val="26"/>
              <w:szCs w:val="26"/>
            </w:rPr>
            <w:t>PM</w:t>
          </w:r>
        </w:p>
      </w:tc>
    </w:tr>
    <w:tr w:rsidR="004E6DAB" w:rsidTr="0037512B">
      <w:tc>
        <w:tcPr>
          <w:tcW w:w="5211" w:type="dxa"/>
          <w:tcBorders>
            <w:top w:val="nil"/>
            <w:left w:val="nil"/>
            <w:bottom w:val="nil"/>
            <w:right w:val="nil"/>
          </w:tcBorders>
        </w:tcPr>
        <w:p w:rsidR="004E6DAB" w:rsidRPr="00343435" w:rsidRDefault="004E6DAB"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b/>
              <w:sz w:val="14"/>
              <w:szCs w:val="16"/>
            </w:rPr>
          </w:pPr>
          <w:r w:rsidRPr="00343435">
            <w:rPr>
              <w:rFonts w:cs="Arial"/>
              <w:b/>
              <w:sz w:val="14"/>
              <w:szCs w:val="16"/>
            </w:rPr>
            <w:t>Ärendenummer</w:t>
          </w:r>
        </w:p>
      </w:tc>
      <w:tc>
        <w:tcPr>
          <w:tcW w:w="1479" w:type="dxa"/>
          <w:tcBorders>
            <w:top w:val="nil"/>
            <w:left w:val="nil"/>
            <w:bottom w:val="nil"/>
            <w:right w:val="nil"/>
          </w:tcBorders>
        </w:tcPr>
        <w:p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 w:val="14"/>
              <w:szCs w:val="16"/>
            </w:rPr>
          </w:pPr>
          <w:r w:rsidRPr="00273FD4">
            <w:rPr>
              <w:rFonts w:cs="Arial"/>
              <w:sz w:val="14"/>
              <w:szCs w:val="16"/>
            </w:rPr>
            <w:t>Dokumentdatum</w:t>
          </w:r>
          <w:r>
            <w:rPr>
              <w:rFonts w:cs="Arial"/>
              <w:sz w:val="14"/>
              <w:szCs w:val="16"/>
            </w:rPr>
            <w:t xml:space="preserve"> </w:t>
          </w:r>
        </w:p>
      </w:tc>
    </w:tr>
    <w:tr w:rsidR="004E6DAB" w:rsidTr="0037512B">
      <w:sdt>
        <w:sdtPr>
          <w:rPr>
            <w:rFonts w:cs="Arial"/>
            <w:szCs w:val="16"/>
          </w:rPr>
          <w:alias w:val="Ärendenummer NY"/>
          <w:id w:val="-676653443"/>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Ärendenummer_x0020_NY[1]" w:storeItemID="{DDBA68D9-8950-4114-8FA5-53D8393B4D23}"/>
          <w:text/>
        </w:sdtPr>
        <w:sdtEndPr/>
        <w:sdtContent>
          <w:tc>
            <w:tcPr>
              <w:tcW w:w="5211" w:type="dxa"/>
              <w:tcBorders>
                <w:top w:val="nil"/>
                <w:left w:val="nil"/>
                <w:bottom w:val="nil"/>
                <w:right w:val="nil"/>
              </w:tcBorders>
            </w:tcPr>
            <w:p w:rsidR="004E6DAB" w:rsidRPr="00FF70EA" w:rsidRDefault="001B5D7D" w:rsidP="005D123F">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[Ärendenummer NY]</w:t>
              </w:r>
            </w:p>
          </w:tc>
        </w:sdtContent>
      </w:sdt>
      <w:sdt>
        <w:sdtPr>
          <w:rPr>
            <w:rFonts w:cs="Arial"/>
            <w:szCs w:val="16"/>
          </w:rPr>
          <w:alias w:val="Dokumentdatum NY"/>
          <w:id w:val="-74363554"/>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datum_x0020_NY[1]" w:storeItemID="{DDBA68D9-8950-4114-8FA5-53D8393B4D23}"/>
          <w:date w:fullDate="2018-03-14T00:00:00Z">
            <w:dateFormat w:val="yyyy-MM-dd"/>
            <w:lid w:val="sv-SE"/>
            <w:storeMappedDataAs w:val="dateTime"/>
            <w:calendar w:val="gregorian"/>
          </w:date>
        </w:sdtPr>
        <w:sdtEndPr/>
        <w:sdtContent>
          <w:tc>
            <w:tcPr>
              <w:tcW w:w="1479" w:type="dxa"/>
              <w:tcBorders>
                <w:top w:val="nil"/>
                <w:left w:val="nil"/>
                <w:bottom w:val="nil"/>
                <w:right w:val="nil"/>
              </w:tcBorders>
            </w:tcPr>
            <w:p w:rsidR="004E6DAB" w:rsidRPr="000121C6" w:rsidRDefault="001225C7" w:rsidP="00941B53">
              <w:pPr>
                <w:pStyle w:val="Sidhuvud"/>
                <w:tabs>
                  <w:tab w:val="clear" w:pos="4536"/>
                  <w:tab w:val="clear" w:pos="9072"/>
                  <w:tab w:val="left" w:pos="1206"/>
                  <w:tab w:val="left" w:pos="2502"/>
                  <w:tab w:val="left" w:pos="3798"/>
                  <w:tab w:val="left" w:pos="5094"/>
                </w:tabs>
                <w:spacing w:line="240" w:lineRule="atLeast"/>
                <w:ind w:left="-108"/>
                <w:jc w:val="left"/>
                <w:rPr>
                  <w:rFonts w:cs="Arial"/>
                  <w:szCs w:val="16"/>
                </w:rPr>
              </w:pPr>
              <w:r>
                <w:rPr>
                  <w:rFonts w:cs="Arial"/>
                  <w:szCs w:val="16"/>
                </w:rPr>
                <w:t>2018-03-14</w:t>
              </w:r>
            </w:p>
          </w:tc>
        </w:sdtContent>
      </w:sdt>
    </w:tr>
    <w:tr w:rsidR="004E6DAB" w:rsidTr="0037512B">
      <w:tc>
        <w:tcPr>
          <w:tcW w:w="5211" w:type="dxa"/>
          <w:tcBorders>
            <w:top w:val="nil"/>
            <w:left w:val="nil"/>
            <w:bottom w:val="nil"/>
            <w:right w:val="nil"/>
          </w:tcBorders>
        </w:tcPr>
        <w:p w:rsidR="004E6DAB" w:rsidRDefault="004E6DAB"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p>
      </w:tc>
      <w:tc>
        <w:tcPr>
          <w:tcW w:w="1479" w:type="dxa"/>
          <w:tcBorders>
            <w:top w:val="nil"/>
            <w:left w:val="nil"/>
            <w:bottom w:val="nil"/>
            <w:right w:val="nil"/>
          </w:tcBorders>
        </w:tcPr>
        <w:p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t>Sidor</w:t>
          </w:r>
        </w:p>
      </w:tc>
    </w:tr>
    <w:tr w:rsidR="004E6DAB" w:rsidTr="0037512B">
      <w:tc>
        <w:tcPr>
          <w:tcW w:w="5211" w:type="dxa"/>
          <w:tcBorders>
            <w:top w:val="nil"/>
            <w:left w:val="nil"/>
            <w:bottom w:val="nil"/>
            <w:right w:val="nil"/>
          </w:tcBorders>
        </w:tcPr>
        <w:p w:rsidR="004E6DAB" w:rsidRPr="00FF70EA" w:rsidRDefault="004E6DAB" w:rsidP="009F7842">
          <w:pPr>
            <w:pStyle w:val="Sidhuvud"/>
            <w:tabs>
              <w:tab w:val="clear" w:pos="4536"/>
              <w:tab w:val="clear" w:pos="9072"/>
              <w:tab w:val="left" w:pos="1206"/>
              <w:tab w:val="left" w:pos="2502"/>
              <w:tab w:val="left" w:pos="3798"/>
              <w:tab w:val="left" w:pos="5094"/>
            </w:tabs>
            <w:spacing w:line="240" w:lineRule="atLeast"/>
            <w:jc w:val="left"/>
            <w:rPr>
              <w:rFonts w:cs="Arial"/>
              <w:szCs w:val="16"/>
            </w:rPr>
          </w:pPr>
        </w:p>
      </w:tc>
      <w:tc>
        <w:tcPr>
          <w:tcW w:w="1479" w:type="dxa"/>
          <w:tcBorders>
            <w:top w:val="nil"/>
            <w:left w:val="nil"/>
            <w:bottom w:val="nil"/>
            <w:right w:val="nil"/>
          </w:tcBorders>
        </w:tcPr>
        <w:p w:rsidR="004E6DAB" w:rsidRDefault="00847A96" w:rsidP="001F5F93">
          <w:pPr>
            <w:pStyle w:val="Sidhuvud"/>
            <w:tabs>
              <w:tab w:val="clear" w:pos="4536"/>
              <w:tab w:val="clear" w:pos="9072"/>
              <w:tab w:val="left" w:pos="1206"/>
              <w:tab w:val="left" w:pos="2502"/>
              <w:tab w:val="left" w:pos="3798"/>
              <w:tab w:val="left" w:pos="5094"/>
            </w:tabs>
            <w:spacing w:line="240" w:lineRule="atLeast"/>
            <w:ind w:left="-108"/>
            <w:jc w:val="left"/>
            <w:rPr>
              <w:rFonts w:cs="Arial"/>
              <w:color w:val="808080"/>
              <w:szCs w:val="16"/>
            </w:rPr>
          </w:pPr>
          <w:r w:rsidRPr="005D123F">
            <w:rPr>
              <w:rFonts w:cs="Arial"/>
              <w:szCs w:val="16"/>
            </w:rPr>
            <w:fldChar w:fldCharType="begin"/>
          </w:r>
          <w:r w:rsidR="004E6DAB" w:rsidRPr="005D123F">
            <w:rPr>
              <w:rFonts w:cs="Arial"/>
              <w:szCs w:val="16"/>
            </w:rPr>
            <w:instrText xml:space="preserve"> PAGE   \* MERGEFORMAT </w:instrText>
          </w:r>
          <w:r w:rsidRPr="005D123F">
            <w:rPr>
              <w:rFonts w:cs="Arial"/>
              <w:szCs w:val="16"/>
            </w:rPr>
            <w:fldChar w:fldCharType="separate"/>
          </w:r>
          <w:r w:rsidR="001225C7">
            <w:rPr>
              <w:rFonts w:cs="Arial"/>
              <w:noProof/>
              <w:szCs w:val="16"/>
            </w:rPr>
            <w:t>5</w:t>
          </w:r>
          <w:r w:rsidRPr="005D123F">
            <w:rPr>
              <w:rFonts w:cs="Arial"/>
              <w:szCs w:val="16"/>
            </w:rPr>
            <w:fldChar w:fldCharType="end"/>
          </w:r>
          <w:r w:rsidR="004E6DAB" w:rsidRPr="005D123F">
            <w:rPr>
              <w:rFonts w:cs="Arial"/>
              <w:szCs w:val="16"/>
            </w:rPr>
            <w:t>(</w:t>
          </w:r>
          <w:r w:rsidRPr="005D123F">
            <w:rPr>
              <w:rFonts w:cs="Arial"/>
              <w:szCs w:val="16"/>
            </w:rPr>
            <w:fldChar w:fldCharType="begin"/>
          </w:r>
          <w:r w:rsidR="004E6DAB" w:rsidRPr="005D123F">
            <w:rPr>
              <w:rFonts w:cs="Arial"/>
              <w:szCs w:val="16"/>
            </w:rPr>
            <w:instrText xml:space="preserve"> NUMPAGES  \# "0" \* Arabic  \* MERGEFORMAT </w:instrText>
          </w:r>
          <w:r w:rsidRPr="005D123F">
            <w:rPr>
              <w:rFonts w:cs="Arial"/>
              <w:szCs w:val="16"/>
            </w:rPr>
            <w:fldChar w:fldCharType="separate"/>
          </w:r>
          <w:r w:rsidR="001225C7">
            <w:rPr>
              <w:rFonts w:cs="Arial"/>
              <w:noProof/>
              <w:szCs w:val="16"/>
            </w:rPr>
            <w:t>5</w:t>
          </w:r>
          <w:r w:rsidRPr="005D123F">
            <w:rPr>
              <w:rFonts w:cs="Arial"/>
              <w:szCs w:val="16"/>
            </w:rPr>
            <w:fldChar w:fldCharType="end"/>
          </w:r>
          <w:r w:rsidR="004E6DAB" w:rsidRPr="005D123F">
            <w:rPr>
              <w:rFonts w:cs="Arial"/>
              <w:szCs w:val="16"/>
            </w:rPr>
            <w:t>)</w:t>
          </w:r>
        </w:p>
      </w:tc>
    </w:tr>
  </w:tbl>
  <w:p w:rsidR="000E3246" w:rsidRPr="001652AD" w:rsidRDefault="000E3246" w:rsidP="001652AD">
    <w:pPr>
      <w:pStyle w:val="Sidhuvud"/>
      <w:jc w:val="lef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46" w:rsidRDefault="000E3246" w:rsidP="00DC79E2">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noProof/>
        <w:sz w:val="14"/>
        <w:szCs w:val="16"/>
      </w:rPr>
      <w:drawing>
        <wp:anchor distT="0" distB="0" distL="114300" distR="114300" simplePos="0" relativeHeight="251698176" behindDoc="1" locked="0" layoutInCell="1" allowOverlap="1">
          <wp:simplePos x="0" y="0"/>
          <wp:positionH relativeFrom="column">
            <wp:posOffset>4768850</wp:posOffset>
          </wp:positionH>
          <wp:positionV relativeFrom="paragraph">
            <wp:posOffset>-545465</wp:posOffset>
          </wp:positionV>
          <wp:extent cx="1771650" cy="1181100"/>
          <wp:effectExtent l="19050" t="0" r="0" b="0"/>
          <wp:wrapNone/>
          <wp:docPr id="9"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14"/>
        <w:szCs w:val="16"/>
      </w:rPr>
      <w:t>Ärendenummer</w:t>
    </w:r>
    <w:r w:rsidRPr="00273FD4">
      <w:rPr>
        <w:rFonts w:cs="Arial"/>
        <w:noProof/>
        <w:sz w:val="14"/>
        <w:szCs w:val="16"/>
      </w:rPr>
      <w:t xml:space="preserve"> </w:t>
    </w:r>
    <w:r>
      <w:rPr>
        <w:rFonts w:cs="Arial"/>
        <w:sz w:val="14"/>
        <w:szCs w:val="16"/>
      </w:rPr>
      <w:tab/>
    </w:r>
    <w:r>
      <w:rPr>
        <w:rFonts w:cs="Arial"/>
        <w:sz w:val="14"/>
        <w:szCs w:val="16"/>
      </w:rPr>
      <w:tab/>
    </w:r>
    <w:r w:rsidRPr="00273FD4">
      <w:rPr>
        <w:rFonts w:cs="Arial"/>
        <w:sz w:val="14"/>
        <w:szCs w:val="16"/>
      </w:rPr>
      <w:t>Dokumentdatum</w:t>
    </w:r>
    <w:r>
      <w:rPr>
        <w:rFonts w:cs="Arial"/>
        <w:sz w:val="14"/>
        <w:szCs w:val="16"/>
      </w:rPr>
      <w:t xml:space="preserve"> </w:t>
    </w:r>
    <w:r>
      <w:rPr>
        <w:rFonts w:cs="Arial"/>
        <w:sz w:val="14"/>
        <w:szCs w:val="16"/>
      </w:rPr>
      <w:br/>
    </w:r>
    <w:sdt>
      <w:sdtPr>
        <w:rPr>
          <w:rFonts w:cs="Arial"/>
          <w:szCs w:val="16"/>
        </w:rPr>
        <w:alias w:val="Ärendenummer"/>
        <w:id w:val="1968230363"/>
        <w:showingPlcHdr/>
        <w:text/>
      </w:sdtPr>
      <w:sdtEndPr/>
      <w:sdtContent>
        <w:r w:rsidRPr="00A12247">
          <w:rPr>
            <w:rStyle w:val="Platshllartext"/>
          </w:rPr>
          <w:t>[Ärendenummer]</w:t>
        </w:r>
      </w:sdtContent>
    </w:sdt>
    <w:r>
      <w:rPr>
        <w:rFonts w:cs="Arial"/>
        <w:szCs w:val="16"/>
      </w:rPr>
      <w:tab/>
    </w:r>
    <w:r>
      <w:rPr>
        <w:rFonts w:cs="Arial"/>
        <w:szCs w:val="16"/>
      </w:rPr>
      <w:tab/>
    </w:r>
    <w:sdt>
      <w:sdtPr>
        <w:rPr>
          <w:rFonts w:cs="Arial"/>
          <w:szCs w:val="16"/>
        </w:rPr>
        <w:alias w:val="Dokumentdatum"/>
        <w:id w:val="1842342674"/>
        <w:showingPlcHdr/>
        <w:date w:fullDate="2013-03-08T00:00:00Z">
          <w:dateFormat w:val="yyyy-MM-dd"/>
          <w:lid w:val="sv-SE"/>
          <w:storeMappedDataAs w:val="dateTime"/>
          <w:calendar w:val="gregorian"/>
        </w:date>
      </w:sdtPr>
      <w:sdtEndPr/>
      <w:sdtContent>
        <w:r w:rsidR="00681675" w:rsidRPr="00A12247">
          <w:rPr>
            <w:rStyle w:val="Platshllartext"/>
          </w:rPr>
          <w:t>[Dokumentdatum]</w:t>
        </w:r>
      </w:sdtContent>
    </w:sdt>
  </w:p>
  <w:p w:rsidR="000E3246" w:rsidRDefault="000E3246" w:rsidP="00DC79E2">
    <w:pPr>
      <w:tabs>
        <w:tab w:val="left" w:pos="1206"/>
        <w:tab w:val="left" w:pos="2502"/>
        <w:tab w:val="left" w:pos="3798"/>
      </w:tabs>
      <w:rPr>
        <w:rFonts w:ascii="Arial" w:hAnsi="Arial" w:cs="Arial"/>
        <w:sz w:val="14"/>
        <w:szCs w:val="16"/>
      </w:rPr>
    </w:pPr>
    <w:r>
      <w:rPr>
        <w:rFonts w:ascii="Arial" w:hAnsi="Arial" w:cs="Arial"/>
        <w:sz w:val="14"/>
        <w:szCs w:val="16"/>
      </w:rPr>
      <w:t xml:space="preserve">Ert ärendenummer </w:t>
    </w:r>
    <w:r>
      <w:rPr>
        <w:rFonts w:ascii="Arial" w:hAnsi="Arial" w:cs="Arial"/>
        <w:sz w:val="14"/>
        <w:szCs w:val="16"/>
      </w:rPr>
      <w:tab/>
      <w:t>Sidor</w:t>
    </w:r>
  </w:p>
  <w:p w:rsidR="000E3246" w:rsidRDefault="001225C7" w:rsidP="00DC79E2">
    <w:pPr>
      <w:tabs>
        <w:tab w:val="left" w:pos="1206"/>
        <w:tab w:val="left" w:pos="2502"/>
        <w:tab w:val="left" w:pos="3798"/>
      </w:tabs>
      <w:rPr>
        <w:rFonts w:ascii="Arial" w:hAnsi="Arial" w:cs="Arial"/>
        <w:b/>
        <w:sz w:val="16"/>
        <w:szCs w:val="16"/>
      </w:rPr>
    </w:pPr>
    <w:sdt>
      <w:sdtPr>
        <w:rPr>
          <w:rFonts w:ascii="Arial" w:hAnsi="Arial" w:cs="Arial"/>
          <w:sz w:val="16"/>
          <w:szCs w:val="16"/>
        </w:rPr>
        <w:alias w:val="Motpartens ärendeID"/>
        <w:id w:val="-2115743183"/>
        <w:showingPlcHdr/>
        <w:text/>
      </w:sdtPr>
      <w:sdtEndPr/>
      <w:sdtContent>
        <w:r w:rsidR="000E3246" w:rsidRPr="00A12247">
          <w:rPr>
            <w:rStyle w:val="Platshllartext"/>
          </w:rPr>
          <w:t>[Motpartens ärendeID]</w:t>
        </w:r>
      </w:sdtContent>
    </w:sdt>
    <w:r w:rsidR="000E3246">
      <w:rPr>
        <w:rFonts w:ascii="Arial" w:hAnsi="Arial" w:cs="Arial"/>
        <w:sz w:val="16"/>
        <w:szCs w:val="16"/>
      </w:rPr>
      <w:tab/>
    </w:r>
    <w:r w:rsidR="00847A96" w:rsidRPr="007378A0">
      <w:rPr>
        <w:rFonts w:ascii="Arial" w:hAnsi="Arial" w:cs="Arial"/>
        <w:b/>
        <w:sz w:val="16"/>
        <w:szCs w:val="16"/>
      </w:rPr>
      <w:fldChar w:fldCharType="begin"/>
    </w:r>
    <w:r w:rsidR="000E3246" w:rsidRPr="007378A0">
      <w:rPr>
        <w:rFonts w:ascii="Arial" w:hAnsi="Arial" w:cs="Arial"/>
        <w:b/>
        <w:sz w:val="16"/>
        <w:szCs w:val="16"/>
      </w:rPr>
      <w:instrText xml:space="preserve"> PAGE   \* MERGEFORMAT </w:instrText>
    </w:r>
    <w:r w:rsidR="00847A96" w:rsidRPr="007378A0">
      <w:rPr>
        <w:rFonts w:ascii="Arial" w:hAnsi="Arial" w:cs="Arial"/>
        <w:b/>
        <w:sz w:val="16"/>
        <w:szCs w:val="16"/>
      </w:rPr>
      <w:fldChar w:fldCharType="separate"/>
    </w:r>
    <w:r w:rsidR="000E3246">
      <w:rPr>
        <w:rFonts w:ascii="Arial" w:hAnsi="Arial" w:cs="Arial"/>
        <w:b/>
        <w:noProof/>
        <w:sz w:val="16"/>
        <w:szCs w:val="16"/>
      </w:rPr>
      <w:t>1</w:t>
    </w:r>
    <w:r w:rsidR="00847A96" w:rsidRPr="007378A0">
      <w:rPr>
        <w:rFonts w:ascii="Arial" w:hAnsi="Arial" w:cs="Arial"/>
        <w:b/>
        <w:sz w:val="16"/>
        <w:szCs w:val="16"/>
      </w:rPr>
      <w:fldChar w:fldCharType="end"/>
    </w:r>
    <w:r w:rsidR="000E3246">
      <w:rPr>
        <w:rFonts w:ascii="Arial" w:hAnsi="Arial" w:cs="Arial"/>
        <w:b/>
        <w:sz w:val="16"/>
        <w:szCs w:val="16"/>
      </w:rPr>
      <w:t>(</w:t>
    </w:r>
    <w:r w:rsidR="00847A96">
      <w:rPr>
        <w:rFonts w:ascii="Arial" w:hAnsi="Arial" w:cs="Arial"/>
        <w:b/>
        <w:sz w:val="16"/>
        <w:szCs w:val="16"/>
      </w:rPr>
      <w:fldChar w:fldCharType="begin"/>
    </w:r>
    <w:r w:rsidR="000E3246">
      <w:rPr>
        <w:rFonts w:ascii="Arial" w:hAnsi="Arial" w:cs="Arial"/>
        <w:b/>
        <w:sz w:val="16"/>
        <w:szCs w:val="16"/>
      </w:rPr>
      <w:instrText xml:space="preserve"> NUMPAGES  \# "0" \* Arabic  \* MERGEFORMAT </w:instrText>
    </w:r>
    <w:r w:rsidR="00847A96">
      <w:rPr>
        <w:rFonts w:ascii="Arial" w:hAnsi="Arial" w:cs="Arial"/>
        <w:b/>
        <w:sz w:val="16"/>
        <w:szCs w:val="16"/>
      </w:rPr>
      <w:fldChar w:fldCharType="separate"/>
    </w:r>
    <w:r w:rsidR="00C06DA3">
      <w:rPr>
        <w:rFonts w:ascii="Arial" w:hAnsi="Arial" w:cs="Arial"/>
        <w:b/>
        <w:noProof/>
        <w:sz w:val="16"/>
        <w:szCs w:val="16"/>
      </w:rPr>
      <w:t>1</w:t>
    </w:r>
    <w:r w:rsidR="00847A96">
      <w:rPr>
        <w:rFonts w:ascii="Arial" w:hAnsi="Arial" w:cs="Arial"/>
        <w:b/>
        <w:sz w:val="16"/>
        <w:szCs w:val="16"/>
      </w:rPr>
      <w:fldChar w:fldCharType="end"/>
    </w:r>
    <w:r w:rsidR="000E3246">
      <w:rPr>
        <w:rFonts w:ascii="Arial" w:hAnsi="Arial" w:cs="Arial"/>
        <w:b/>
        <w:sz w:val="16"/>
        <w:szCs w:val="16"/>
      </w:rPr>
      <w:t>)</w:t>
    </w:r>
  </w:p>
  <w:p w:rsidR="000E3246" w:rsidRPr="00546594" w:rsidRDefault="000E3246" w:rsidP="00DC79E2">
    <w:pPr>
      <w:pStyle w:val="Sidhuvud"/>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A3"/>
    <w:rsid w:val="00001CC8"/>
    <w:rsid w:val="00002D1B"/>
    <w:rsid w:val="000121C6"/>
    <w:rsid w:val="000173C3"/>
    <w:rsid w:val="000207C2"/>
    <w:rsid w:val="0002116B"/>
    <w:rsid w:val="0002716E"/>
    <w:rsid w:val="00030D32"/>
    <w:rsid w:val="0003230E"/>
    <w:rsid w:val="00032589"/>
    <w:rsid w:val="00034D8E"/>
    <w:rsid w:val="00037640"/>
    <w:rsid w:val="00042009"/>
    <w:rsid w:val="00045064"/>
    <w:rsid w:val="00050DA9"/>
    <w:rsid w:val="000576F3"/>
    <w:rsid w:val="000577ED"/>
    <w:rsid w:val="000660B7"/>
    <w:rsid w:val="00070EAA"/>
    <w:rsid w:val="0007112D"/>
    <w:rsid w:val="00074BB9"/>
    <w:rsid w:val="00074CD6"/>
    <w:rsid w:val="00076237"/>
    <w:rsid w:val="0007695F"/>
    <w:rsid w:val="00077341"/>
    <w:rsid w:val="00081813"/>
    <w:rsid w:val="00081AD7"/>
    <w:rsid w:val="00082609"/>
    <w:rsid w:val="00083A17"/>
    <w:rsid w:val="00084BA2"/>
    <w:rsid w:val="00090B6E"/>
    <w:rsid w:val="00090B82"/>
    <w:rsid w:val="00090C36"/>
    <w:rsid w:val="00090C70"/>
    <w:rsid w:val="00092F25"/>
    <w:rsid w:val="00093531"/>
    <w:rsid w:val="00096292"/>
    <w:rsid w:val="00096423"/>
    <w:rsid w:val="00097431"/>
    <w:rsid w:val="000A0419"/>
    <w:rsid w:val="000A0EE3"/>
    <w:rsid w:val="000A4B04"/>
    <w:rsid w:val="000A4F25"/>
    <w:rsid w:val="000A5288"/>
    <w:rsid w:val="000A531B"/>
    <w:rsid w:val="000A62B0"/>
    <w:rsid w:val="000B1945"/>
    <w:rsid w:val="000B40DD"/>
    <w:rsid w:val="000B523D"/>
    <w:rsid w:val="000B5807"/>
    <w:rsid w:val="000C05BF"/>
    <w:rsid w:val="000C41B6"/>
    <w:rsid w:val="000C55A5"/>
    <w:rsid w:val="000C63F9"/>
    <w:rsid w:val="000D06C9"/>
    <w:rsid w:val="000D4C7B"/>
    <w:rsid w:val="000D5C47"/>
    <w:rsid w:val="000E09AD"/>
    <w:rsid w:val="000E170E"/>
    <w:rsid w:val="000E3246"/>
    <w:rsid w:val="000F3D8A"/>
    <w:rsid w:val="000F6349"/>
    <w:rsid w:val="000F698A"/>
    <w:rsid w:val="000F6F1B"/>
    <w:rsid w:val="000F786E"/>
    <w:rsid w:val="000F7F89"/>
    <w:rsid w:val="001023B9"/>
    <w:rsid w:val="00105605"/>
    <w:rsid w:val="00105740"/>
    <w:rsid w:val="00107841"/>
    <w:rsid w:val="001102AE"/>
    <w:rsid w:val="00111926"/>
    <w:rsid w:val="00112512"/>
    <w:rsid w:val="00113691"/>
    <w:rsid w:val="00115251"/>
    <w:rsid w:val="00115B28"/>
    <w:rsid w:val="001164EF"/>
    <w:rsid w:val="001167F6"/>
    <w:rsid w:val="00117E50"/>
    <w:rsid w:val="00120649"/>
    <w:rsid w:val="00121B2E"/>
    <w:rsid w:val="001225C7"/>
    <w:rsid w:val="0012293B"/>
    <w:rsid w:val="0012356A"/>
    <w:rsid w:val="001235F2"/>
    <w:rsid w:val="0012754F"/>
    <w:rsid w:val="00127908"/>
    <w:rsid w:val="00132394"/>
    <w:rsid w:val="00136E0F"/>
    <w:rsid w:val="00140080"/>
    <w:rsid w:val="00142D0E"/>
    <w:rsid w:val="00146FE4"/>
    <w:rsid w:val="0015022D"/>
    <w:rsid w:val="00153082"/>
    <w:rsid w:val="0015352D"/>
    <w:rsid w:val="00153E20"/>
    <w:rsid w:val="001557CA"/>
    <w:rsid w:val="00155E46"/>
    <w:rsid w:val="00156D41"/>
    <w:rsid w:val="00157907"/>
    <w:rsid w:val="0016011C"/>
    <w:rsid w:val="001652AD"/>
    <w:rsid w:val="00166A92"/>
    <w:rsid w:val="001674E8"/>
    <w:rsid w:val="00173353"/>
    <w:rsid w:val="00176B04"/>
    <w:rsid w:val="00176BDC"/>
    <w:rsid w:val="00177194"/>
    <w:rsid w:val="00177E4B"/>
    <w:rsid w:val="0018089A"/>
    <w:rsid w:val="001827EF"/>
    <w:rsid w:val="00183151"/>
    <w:rsid w:val="00184530"/>
    <w:rsid w:val="001846D9"/>
    <w:rsid w:val="00187EA0"/>
    <w:rsid w:val="00190124"/>
    <w:rsid w:val="00194975"/>
    <w:rsid w:val="00196B04"/>
    <w:rsid w:val="0019771F"/>
    <w:rsid w:val="001A25B8"/>
    <w:rsid w:val="001A7214"/>
    <w:rsid w:val="001A77FD"/>
    <w:rsid w:val="001B1424"/>
    <w:rsid w:val="001B1854"/>
    <w:rsid w:val="001B4AF3"/>
    <w:rsid w:val="001B5D7D"/>
    <w:rsid w:val="001B6A81"/>
    <w:rsid w:val="001B72FE"/>
    <w:rsid w:val="001B77CC"/>
    <w:rsid w:val="001B79B6"/>
    <w:rsid w:val="001C0D39"/>
    <w:rsid w:val="001C6DA3"/>
    <w:rsid w:val="001D070D"/>
    <w:rsid w:val="001D1D88"/>
    <w:rsid w:val="001D6530"/>
    <w:rsid w:val="001D7025"/>
    <w:rsid w:val="001D7089"/>
    <w:rsid w:val="001E336D"/>
    <w:rsid w:val="001F5F93"/>
    <w:rsid w:val="00205B53"/>
    <w:rsid w:val="002067A4"/>
    <w:rsid w:val="002146F5"/>
    <w:rsid w:val="00215EE2"/>
    <w:rsid w:val="00216DE5"/>
    <w:rsid w:val="002226FF"/>
    <w:rsid w:val="00222E5A"/>
    <w:rsid w:val="0023097B"/>
    <w:rsid w:val="00234A04"/>
    <w:rsid w:val="0023790C"/>
    <w:rsid w:val="00240E2A"/>
    <w:rsid w:val="002443D8"/>
    <w:rsid w:val="002478C4"/>
    <w:rsid w:val="002500A8"/>
    <w:rsid w:val="002634AE"/>
    <w:rsid w:val="0026402C"/>
    <w:rsid w:val="00264AB1"/>
    <w:rsid w:val="0027057D"/>
    <w:rsid w:val="002844BE"/>
    <w:rsid w:val="0028633F"/>
    <w:rsid w:val="002928D4"/>
    <w:rsid w:val="002947B0"/>
    <w:rsid w:val="00296C44"/>
    <w:rsid w:val="002A00B5"/>
    <w:rsid w:val="002A51F2"/>
    <w:rsid w:val="002A76CC"/>
    <w:rsid w:val="002B0302"/>
    <w:rsid w:val="002B524E"/>
    <w:rsid w:val="002C0424"/>
    <w:rsid w:val="002C385E"/>
    <w:rsid w:val="002C50BD"/>
    <w:rsid w:val="002C5211"/>
    <w:rsid w:val="002C698D"/>
    <w:rsid w:val="002D0371"/>
    <w:rsid w:val="002D0C3B"/>
    <w:rsid w:val="002D2B33"/>
    <w:rsid w:val="002D7705"/>
    <w:rsid w:val="002E380F"/>
    <w:rsid w:val="002E6071"/>
    <w:rsid w:val="002F18FB"/>
    <w:rsid w:val="002F3A5B"/>
    <w:rsid w:val="002F4260"/>
    <w:rsid w:val="002F4735"/>
    <w:rsid w:val="002F5E50"/>
    <w:rsid w:val="002F6553"/>
    <w:rsid w:val="002F6642"/>
    <w:rsid w:val="00302C4F"/>
    <w:rsid w:val="00311F59"/>
    <w:rsid w:val="00311F95"/>
    <w:rsid w:val="003136C5"/>
    <w:rsid w:val="00313DAA"/>
    <w:rsid w:val="003156BD"/>
    <w:rsid w:val="00317AC2"/>
    <w:rsid w:val="00317BCD"/>
    <w:rsid w:val="00320A88"/>
    <w:rsid w:val="00323E9E"/>
    <w:rsid w:val="00331ECF"/>
    <w:rsid w:val="00333927"/>
    <w:rsid w:val="00340E38"/>
    <w:rsid w:val="00342D81"/>
    <w:rsid w:val="00343435"/>
    <w:rsid w:val="003450B2"/>
    <w:rsid w:val="00347053"/>
    <w:rsid w:val="00350EFA"/>
    <w:rsid w:val="0035291B"/>
    <w:rsid w:val="00353DA1"/>
    <w:rsid w:val="00357074"/>
    <w:rsid w:val="00360ADF"/>
    <w:rsid w:val="00360D00"/>
    <w:rsid w:val="00361CD6"/>
    <w:rsid w:val="00362829"/>
    <w:rsid w:val="00362AA2"/>
    <w:rsid w:val="003636AA"/>
    <w:rsid w:val="00363735"/>
    <w:rsid w:val="00363C07"/>
    <w:rsid w:val="00364461"/>
    <w:rsid w:val="00365D7D"/>
    <w:rsid w:val="0036691D"/>
    <w:rsid w:val="00370321"/>
    <w:rsid w:val="00370552"/>
    <w:rsid w:val="0037141C"/>
    <w:rsid w:val="0037255C"/>
    <w:rsid w:val="003744C9"/>
    <w:rsid w:val="0037512B"/>
    <w:rsid w:val="00375980"/>
    <w:rsid w:val="00375BC5"/>
    <w:rsid w:val="0037732D"/>
    <w:rsid w:val="00377BC2"/>
    <w:rsid w:val="00380EDF"/>
    <w:rsid w:val="00384503"/>
    <w:rsid w:val="00387545"/>
    <w:rsid w:val="0039088A"/>
    <w:rsid w:val="00393FD7"/>
    <w:rsid w:val="00394563"/>
    <w:rsid w:val="003961D9"/>
    <w:rsid w:val="003A239B"/>
    <w:rsid w:val="003A2BE9"/>
    <w:rsid w:val="003A3FA1"/>
    <w:rsid w:val="003A7387"/>
    <w:rsid w:val="003A7ADB"/>
    <w:rsid w:val="003B28F7"/>
    <w:rsid w:val="003B434A"/>
    <w:rsid w:val="003B5AD3"/>
    <w:rsid w:val="003B654F"/>
    <w:rsid w:val="003B70E2"/>
    <w:rsid w:val="003C2213"/>
    <w:rsid w:val="003C271E"/>
    <w:rsid w:val="003C3D9C"/>
    <w:rsid w:val="003D17B0"/>
    <w:rsid w:val="003D237B"/>
    <w:rsid w:val="003D7726"/>
    <w:rsid w:val="003E23A2"/>
    <w:rsid w:val="003E6028"/>
    <w:rsid w:val="003F1931"/>
    <w:rsid w:val="003F236E"/>
    <w:rsid w:val="003F3B9E"/>
    <w:rsid w:val="003F566A"/>
    <w:rsid w:val="0040270C"/>
    <w:rsid w:val="00403A5B"/>
    <w:rsid w:val="004060AB"/>
    <w:rsid w:val="004073D4"/>
    <w:rsid w:val="004079EB"/>
    <w:rsid w:val="00413538"/>
    <w:rsid w:val="00422D60"/>
    <w:rsid w:val="00423389"/>
    <w:rsid w:val="004255CC"/>
    <w:rsid w:val="0042658D"/>
    <w:rsid w:val="0042724A"/>
    <w:rsid w:val="00432054"/>
    <w:rsid w:val="00434AD3"/>
    <w:rsid w:val="004414D2"/>
    <w:rsid w:val="00445A97"/>
    <w:rsid w:val="00450BF9"/>
    <w:rsid w:val="00451273"/>
    <w:rsid w:val="004615B7"/>
    <w:rsid w:val="00465066"/>
    <w:rsid w:val="00465193"/>
    <w:rsid w:val="00465E5C"/>
    <w:rsid w:val="0047047A"/>
    <w:rsid w:val="00471CBE"/>
    <w:rsid w:val="00471F1B"/>
    <w:rsid w:val="00473588"/>
    <w:rsid w:val="004776EE"/>
    <w:rsid w:val="00477A05"/>
    <w:rsid w:val="004847BD"/>
    <w:rsid w:val="00486C90"/>
    <w:rsid w:val="00490769"/>
    <w:rsid w:val="0049511B"/>
    <w:rsid w:val="00495A94"/>
    <w:rsid w:val="00495FB9"/>
    <w:rsid w:val="00497F2B"/>
    <w:rsid w:val="004A007C"/>
    <w:rsid w:val="004A2E45"/>
    <w:rsid w:val="004A62BF"/>
    <w:rsid w:val="004A6E77"/>
    <w:rsid w:val="004B08DB"/>
    <w:rsid w:val="004B27DA"/>
    <w:rsid w:val="004C75CF"/>
    <w:rsid w:val="004D12C7"/>
    <w:rsid w:val="004D3D07"/>
    <w:rsid w:val="004D4692"/>
    <w:rsid w:val="004D5F97"/>
    <w:rsid w:val="004D7D83"/>
    <w:rsid w:val="004E02B4"/>
    <w:rsid w:val="004E1046"/>
    <w:rsid w:val="004E2F82"/>
    <w:rsid w:val="004E3980"/>
    <w:rsid w:val="004E3B38"/>
    <w:rsid w:val="004E6464"/>
    <w:rsid w:val="004E6DAB"/>
    <w:rsid w:val="004E7AD4"/>
    <w:rsid w:val="004F0FAD"/>
    <w:rsid w:val="004F4132"/>
    <w:rsid w:val="004F45FF"/>
    <w:rsid w:val="00500E71"/>
    <w:rsid w:val="005027AC"/>
    <w:rsid w:val="00502C5B"/>
    <w:rsid w:val="00503044"/>
    <w:rsid w:val="00503D4B"/>
    <w:rsid w:val="0050594B"/>
    <w:rsid w:val="0051155C"/>
    <w:rsid w:val="005135B0"/>
    <w:rsid w:val="005144C8"/>
    <w:rsid w:val="005164F6"/>
    <w:rsid w:val="00517DDE"/>
    <w:rsid w:val="00520597"/>
    <w:rsid w:val="0052076A"/>
    <w:rsid w:val="00532161"/>
    <w:rsid w:val="00533DE7"/>
    <w:rsid w:val="00534988"/>
    <w:rsid w:val="00553982"/>
    <w:rsid w:val="00554B6D"/>
    <w:rsid w:val="005635F3"/>
    <w:rsid w:val="0056700C"/>
    <w:rsid w:val="005759B4"/>
    <w:rsid w:val="005777C2"/>
    <w:rsid w:val="00577E16"/>
    <w:rsid w:val="00581047"/>
    <w:rsid w:val="0058154D"/>
    <w:rsid w:val="00585DF2"/>
    <w:rsid w:val="00586183"/>
    <w:rsid w:val="00586CFA"/>
    <w:rsid w:val="005923E8"/>
    <w:rsid w:val="005A0018"/>
    <w:rsid w:val="005A03F3"/>
    <w:rsid w:val="005B0075"/>
    <w:rsid w:val="005B015E"/>
    <w:rsid w:val="005B2C88"/>
    <w:rsid w:val="005B310F"/>
    <w:rsid w:val="005B4B0C"/>
    <w:rsid w:val="005B6118"/>
    <w:rsid w:val="005C53C2"/>
    <w:rsid w:val="005D123F"/>
    <w:rsid w:val="005E0C3E"/>
    <w:rsid w:val="005E2E96"/>
    <w:rsid w:val="005E42AB"/>
    <w:rsid w:val="005E51BA"/>
    <w:rsid w:val="005F058F"/>
    <w:rsid w:val="005F15E4"/>
    <w:rsid w:val="005F2D66"/>
    <w:rsid w:val="005F5440"/>
    <w:rsid w:val="005F5EB9"/>
    <w:rsid w:val="005F687D"/>
    <w:rsid w:val="00600CF2"/>
    <w:rsid w:val="00603DE5"/>
    <w:rsid w:val="00604352"/>
    <w:rsid w:val="006054EA"/>
    <w:rsid w:val="006069D8"/>
    <w:rsid w:val="006144D3"/>
    <w:rsid w:val="006155C9"/>
    <w:rsid w:val="0062329A"/>
    <w:rsid w:val="006238DE"/>
    <w:rsid w:val="00626EAA"/>
    <w:rsid w:val="00635326"/>
    <w:rsid w:val="00635B53"/>
    <w:rsid w:val="00644EAD"/>
    <w:rsid w:val="00646BB2"/>
    <w:rsid w:val="00647DAF"/>
    <w:rsid w:val="006508D3"/>
    <w:rsid w:val="00651122"/>
    <w:rsid w:val="00651907"/>
    <w:rsid w:val="00652E4A"/>
    <w:rsid w:val="0065418A"/>
    <w:rsid w:val="006565A2"/>
    <w:rsid w:val="006575B6"/>
    <w:rsid w:val="00662658"/>
    <w:rsid w:val="006631B7"/>
    <w:rsid w:val="00663BEC"/>
    <w:rsid w:val="0067143D"/>
    <w:rsid w:val="006720AA"/>
    <w:rsid w:val="00674FA5"/>
    <w:rsid w:val="00675965"/>
    <w:rsid w:val="00675ACD"/>
    <w:rsid w:val="0067706F"/>
    <w:rsid w:val="006773A3"/>
    <w:rsid w:val="00681675"/>
    <w:rsid w:val="006874C9"/>
    <w:rsid w:val="006911CC"/>
    <w:rsid w:val="00697713"/>
    <w:rsid w:val="006A0950"/>
    <w:rsid w:val="006A495C"/>
    <w:rsid w:val="006A52F5"/>
    <w:rsid w:val="006A6ED7"/>
    <w:rsid w:val="006B049D"/>
    <w:rsid w:val="006B2AE7"/>
    <w:rsid w:val="006B4A36"/>
    <w:rsid w:val="006B58D4"/>
    <w:rsid w:val="006B5B6B"/>
    <w:rsid w:val="006B603A"/>
    <w:rsid w:val="006C0F1E"/>
    <w:rsid w:val="006C2F13"/>
    <w:rsid w:val="006C52D0"/>
    <w:rsid w:val="006C723B"/>
    <w:rsid w:val="006C74C7"/>
    <w:rsid w:val="006D0D13"/>
    <w:rsid w:val="006D4E7E"/>
    <w:rsid w:val="006D5090"/>
    <w:rsid w:val="006D5701"/>
    <w:rsid w:val="006E16D1"/>
    <w:rsid w:val="006E1942"/>
    <w:rsid w:val="006E71E1"/>
    <w:rsid w:val="006F2321"/>
    <w:rsid w:val="006F32FC"/>
    <w:rsid w:val="006F77AB"/>
    <w:rsid w:val="0070298B"/>
    <w:rsid w:val="00703653"/>
    <w:rsid w:val="00703A2C"/>
    <w:rsid w:val="0070582C"/>
    <w:rsid w:val="00710238"/>
    <w:rsid w:val="007123C6"/>
    <w:rsid w:val="00712A5F"/>
    <w:rsid w:val="00715CD8"/>
    <w:rsid w:val="0071673A"/>
    <w:rsid w:val="007231D4"/>
    <w:rsid w:val="00726CDF"/>
    <w:rsid w:val="00727349"/>
    <w:rsid w:val="00727D36"/>
    <w:rsid w:val="00731BF6"/>
    <w:rsid w:val="00732BF4"/>
    <w:rsid w:val="00733570"/>
    <w:rsid w:val="007378A0"/>
    <w:rsid w:val="00737A14"/>
    <w:rsid w:val="007428FF"/>
    <w:rsid w:val="0074323F"/>
    <w:rsid w:val="007460EE"/>
    <w:rsid w:val="0075552C"/>
    <w:rsid w:val="0075686F"/>
    <w:rsid w:val="007578EF"/>
    <w:rsid w:val="007634CA"/>
    <w:rsid w:val="0076360E"/>
    <w:rsid w:val="00764CE4"/>
    <w:rsid w:val="00765118"/>
    <w:rsid w:val="007651F9"/>
    <w:rsid w:val="007652BC"/>
    <w:rsid w:val="0076642E"/>
    <w:rsid w:val="0076650E"/>
    <w:rsid w:val="00766754"/>
    <w:rsid w:val="00767692"/>
    <w:rsid w:val="00771860"/>
    <w:rsid w:val="00773F81"/>
    <w:rsid w:val="0077504F"/>
    <w:rsid w:val="007771C0"/>
    <w:rsid w:val="00785358"/>
    <w:rsid w:val="007853A9"/>
    <w:rsid w:val="00786712"/>
    <w:rsid w:val="00794679"/>
    <w:rsid w:val="00795A86"/>
    <w:rsid w:val="007A0695"/>
    <w:rsid w:val="007A34CE"/>
    <w:rsid w:val="007A4BEA"/>
    <w:rsid w:val="007A56E2"/>
    <w:rsid w:val="007B0E99"/>
    <w:rsid w:val="007B147E"/>
    <w:rsid w:val="007B21B8"/>
    <w:rsid w:val="007B4154"/>
    <w:rsid w:val="007B6E4E"/>
    <w:rsid w:val="007C1727"/>
    <w:rsid w:val="007C36B7"/>
    <w:rsid w:val="007C4470"/>
    <w:rsid w:val="007C4701"/>
    <w:rsid w:val="007C5E2F"/>
    <w:rsid w:val="007C716C"/>
    <w:rsid w:val="007C75E2"/>
    <w:rsid w:val="007D1EC4"/>
    <w:rsid w:val="007D324D"/>
    <w:rsid w:val="007D4CE1"/>
    <w:rsid w:val="007D5968"/>
    <w:rsid w:val="007E06EE"/>
    <w:rsid w:val="007E2AEA"/>
    <w:rsid w:val="007E72B6"/>
    <w:rsid w:val="007E7B28"/>
    <w:rsid w:val="007F0939"/>
    <w:rsid w:val="007F1EF4"/>
    <w:rsid w:val="007F2086"/>
    <w:rsid w:val="007F6976"/>
    <w:rsid w:val="007F74AA"/>
    <w:rsid w:val="007F7748"/>
    <w:rsid w:val="00801860"/>
    <w:rsid w:val="00801BCD"/>
    <w:rsid w:val="008050DE"/>
    <w:rsid w:val="0080650A"/>
    <w:rsid w:val="00806885"/>
    <w:rsid w:val="00817651"/>
    <w:rsid w:val="00822068"/>
    <w:rsid w:val="00822E16"/>
    <w:rsid w:val="008236AC"/>
    <w:rsid w:val="0082613F"/>
    <w:rsid w:val="008274FD"/>
    <w:rsid w:val="00833B40"/>
    <w:rsid w:val="008349A6"/>
    <w:rsid w:val="00837DBE"/>
    <w:rsid w:val="00840369"/>
    <w:rsid w:val="00841881"/>
    <w:rsid w:val="00841E94"/>
    <w:rsid w:val="008425D5"/>
    <w:rsid w:val="0084461D"/>
    <w:rsid w:val="0084768D"/>
    <w:rsid w:val="00847A96"/>
    <w:rsid w:val="00850E0C"/>
    <w:rsid w:val="0085235D"/>
    <w:rsid w:val="00852C60"/>
    <w:rsid w:val="00854509"/>
    <w:rsid w:val="00855C40"/>
    <w:rsid w:val="00856A38"/>
    <w:rsid w:val="00860B3F"/>
    <w:rsid w:val="00863D57"/>
    <w:rsid w:val="00864366"/>
    <w:rsid w:val="00864A2A"/>
    <w:rsid w:val="0087185C"/>
    <w:rsid w:val="0088329B"/>
    <w:rsid w:val="008874A3"/>
    <w:rsid w:val="00887EF9"/>
    <w:rsid w:val="00892B44"/>
    <w:rsid w:val="00892E41"/>
    <w:rsid w:val="0089326C"/>
    <w:rsid w:val="00895AA8"/>
    <w:rsid w:val="008A13F4"/>
    <w:rsid w:val="008A5A43"/>
    <w:rsid w:val="008B4F8A"/>
    <w:rsid w:val="008B7ED2"/>
    <w:rsid w:val="008C02E4"/>
    <w:rsid w:val="008C0FC4"/>
    <w:rsid w:val="008C3BCE"/>
    <w:rsid w:val="008C4DF7"/>
    <w:rsid w:val="008C5ACD"/>
    <w:rsid w:val="008D3431"/>
    <w:rsid w:val="008D5E85"/>
    <w:rsid w:val="008E019A"/>
    <w:rsid w:val="008E2BDD"/>
    <w:rsid w:val="008E2D96"/>
    <w:rsid w:val="008E4B58"/>
    <w:rsid w:val="008E4FA5"/>
    <w:rsid w:val="008E641C"/>
    <w:rsid w:val="008E6930"/>
    <w:rsid w:val="008E7480"/>
    <w:rsid w:val="008F12C3"/>
    <w:rsid w:val="008F2B2A"/>
    <w:rsid w:val="00900713"/>
    <w:rsid w:val="00901CF3"/>
    <w:rsid w:val="00902A34"/>
    <w:rsid w:val="009030AF"/>
    <w:rsid w:val="00906777"/>
    <w:rsid w:val="00913A65"/>
    <w:rsid w:val="00916779"/>
    <w:rsid w:val="00924E80"/>
    <w:rsid w:val="009259BD"/>
    <w:rsid w:val="0093034C"/>
    <w:rsid w:val="00930FDA"/>
    <w:rsid w:val="00932062"/>
    <w:rsid w:val="009326B5"/>
    <w:rsid w:val="00934A73"/>
    <w:rsid w:val="009378B6"/>
    <w:rsid w:val="0094160C"/>
    <w:rsid w:val="00941B53"/>
    <w:rsid w:val="00942127"/>
    <w:rsid w:val="00943B7E"/>
    <w:rsid w:val="009462FA"/>
    <w:rsid w:val="009515C3"/>
    <w:rsid w:val="00952136"/>
    <w:rsid w:val="0095400E"/>
    <w:rsid w:val="00954913"/>
    <w:rsid w:val="00955BB0"/>
    <w:rsid w:val="0096099B"/>
    <w:rsid w:val="009628D1"/>
    <w:rsid w:val="00967587"/>
    <w:rsid w:val="00972AE7"/>
    <w:rsid w:val="00973260"/>
    <w:rsid w:val="0097487A"/>
    <w:rsid w:val="00976C80"/>
    <w:rsid w:val="00977374"/>
    <w:rsid w:val="00983A5C"/>
    <w:rsid w:val="00985499"/>
    <w:rsid w:val="00986C0B"/>
    <w:rsid w:val="00987A99"/>
    <w:rsid w:val="00993678"/>
    <w:rsid w:val="009A0D39"/>
    <w:rsid w:val="009A353A"/>
    <w:rsid w:val="009A4237"/>
    <w:rsid w:val="009A45C6"/>
    <w:rsid w:val="009A577E"/>
    <w:rsid w:val="009B39EB"/>
    <w:rsid w:val="009B662F"/>
    <w:rsid w:val="009B68C2"/>
    <w:rsid w:val="009B6AB3"/>
    <w:rsid w:val="009C19DC"/>
    <w:rsid w:val="009C2116"/>
    <w:rsid w:val="009C31E1"/>
    <w:rsid w:val="009C5223"/>
    <w:rsid w:val="009D2D80"/>
    <w:rsid w:val="009D3FEE"/>
    <w:rsid w:val="009D59F9"/>
    <w:rsid w:val="009D7417"/>
    <w:rsid w:val="009E4922"/>
    <w:rsid w:val="009F07FE"/>
    <w:rsid w:val="009F486B"/>
    <w:rsid w:val="009F7842"/>
    <w:rsid w:val="009F7E8B"/>
    <w:rsid w:val="00A002EE"/>
    <w:rsid w:val="00A00F94"/>
    <w:rsid w:val="00A032EC"/>
    <w:rsid w:val="00A044FB"/>
    <w:rsid w:val="00A053ED"/>
    <w:rsid w:val="00A0647B"/>
    <w:rsid w:val="00A0728E"/>
    <w:rsid w:val="00A07A58"/>
    <w:rsid w:val="00A109BC"/>
    <w:rsid w:val="00A11778"/>
    <w:rsid w:val="00A1576E"/>
    <w:rsid w:val="00A169A8"/>
    <w:rsid w:val="00A22E5C"/>
    <w:rsid w:val="00A26556"/>
    <w:rsid w:val="00A311E1"/>
    <w:rsid w:val="00A32563"/>
    <w:rsid w:val="00A3270E"/>
    <w:rsid w:val="00A33871"/>
    <w:rsid w:val="00A35C02"/>
    <w:rsid w:val="00A41773"/>
    <w:rsid w:val="00A5036D"/>
    <w:rsid w:val="00A54104"/>
    <w:rsid w:val="00A5737D"/>
    <w:rsid w:val="00A6008E"/>
    <w:rsid w:val="00A63976"/>
    <w:rsid w:val="00A658B5"/>
    <w:rsid w:val="00A70470"/>
    <w:rsid w:val="00A70B22"/>
    <w:rsid w:val="00A70EF8"/>
    <w:rsid w:val="00A72F76"/>
    <w:rsid w:val="00A7359A"/>
    <w:rsid w:val="00A73E80"/>
    <w:rsid w:val="00A73F7F"/>
    <w:rsid w:val="00A75A30"/>
    <w:rsid w:val="00A80954"/>
    <w:rsid w:val="00A80E10"/>
    <w:rsid w:val="00A8370A"/>
    <w:rsid w:val="00A87336"/>
    <w:rsid w:val="00A9428D"/>
    <w:rsid w:val="00A957FB"/>
    <w:rsid w:val="00A9743E"/>
    <w:rsid w:val="00AA23D1"/>
    <w:rsid w:val="00AA47AA"/>
    <w:rsid w:val="00AA4ED3"/>
    <w:rsid w:val="00AA60FA"/>
    <w:rsid w:val="00AA7D53"/>
    <w:rsid w:val="00AB081A"/>
    <w:rsid w:val="00AB0AFB"/>
    <w:rsid w:val="00AB2593"/>
    <w:rsid w:val="00AB70BA"/>
    <w:rsid w:val="00AC0820"/>
    <w:rsid w:val="00AC4460"/>
    <w:rsid w:val="00AD6850"/>
    <w:rsid w:val="00AD73E8"/>
    <w:rsid w:val="00AD745E"/>
    <w:rsid w:val="00AD7DDF"/>
    <w:rsid w:val="00AE079A"/>
    <w:rsid w:val="00AE2215"/>
    <w:rsid w:val="00AE7AD6"/>
    <w:rsid w:val="00AF13AE"/>
    <w:rsid w:val="00AF2426"/>
    <w:rsid w:val="00AF39BE"/>
    <w:rsid w:val="00AF7DDC"/>
    <w:rsid w:val="00B01B06"/>
    <w:rsid w:val="00B02EDD"/>
    <w:rsid w:val="00B0667C"/>
    <w:rsid w:val="00B1043D"/>
    <w:rsid w:val="00B10D43"/>
    <w:rsid w:val="00B13E82"/>
    <w:rsid w:val="00B14FD2"/>
    <w:rsid w:val="00B215ED"/>
    <w:rsid w:val="00B21824"/>
    <w:rsid w:val="00B22251"/>
    <w:rsid w:val="00B2280C"/>
    <w:rsid w:val="00B22F44"/>
    <w:rsid w:val="00B2796D"/>
    <w:rsid w:val="00B34328"/>
    <w:rsid w:val="00B4012A"/>
    <w:rsid w:val="00B432E8"/>
    <w:rsid w:val="00B44800"/>
    <w:rsid w:val="00B449E9"/>
    <w:rsid w:val="00B46FB4"/>
    <w:rsid w:val="00B4765B"/>
    <w:rsid w:val="00B47D86"/>
    <w:rsid w:val="00B5031A"/>
    <w:rsid w:val="00B51A46"/>
    <w:rsid w:val="00B52310"/>
    <w:rsid w:val="00B5359D"/>
    <w:rsid w:val="00B5383D"/>
    <w:rsid w:val="00B60C41"/>
    <w:rsid w:val="00B625EB"/>
    <w:rsid w:val="00B629CD"/>
    <w:rsid w:val="00B7071C"/>
    <w:rsid w:val="00B72F7B"/>
    <w:rsid w:val="00B731D1"/>
    <w:rsid w:val="00B756FF"/>
    <w:rsid w:val="00B76B47"/>
    <w:rsid w:val="00B77FD8"/>
    <w:rsid w:val="00B800BD"/>
    <w:rsid w:val="00B807DD"/>
    <w:rsid w:val="00B83148"/>
    <w:rsid w:val="00B8573E"/>
    <w:rsid w:val="00B86452"/>
    <w:rsid w:val="00B86638"/>
    <w:rsid w:val="00B86FEA"/>
    <w:rsid w:val="00B90EF5"/>
    <w:rsid w:val="00B91258"/>
    <w:rsid w:val="00B91C5B"/>
    <w:rsid w:val="00BA0AAE"/>
    <w:rsid w:val="00BA0C99"/>
    <w:rsid w:val="00BA14B7"/>
    <w:rsid w:val="00BA29AB"/>
    <w:rsid w:val="00BA3673"/>
    <w:rsid w:val="00BA37FD"/>
    <w:rsid w:val="00BA4981"/>
    <w:rsid w:val="00BA5833"/>
    <w:rsid w:val="00BB2A19"/>
    <w:rsid w:val="00BB3637"/>
    <w:rsid w:val="00BB4BC1"/>
    <w:rsid w:val="00BB56F8"/>
    <w:rsid w:val="00BB7267"/>
    <w:rsid w:val="00BB7ADD"/>
    <w:rsid w:val="00BC3168"/>
    <w:rsid w:val="00BC31AA"/>
    <w:rsid w:val="00BC6B8D"/>
    <w:rsid w:val="00BC6D2B"/>
    <w:rsid w:val="00BD4F03"/>
    <w:rsid w:val="00BD5CAF"/>
    <w:rsid w:val="00BD7211"/>
    <w:rsid w:val="00BD7B4F"/>
    <w:rsid w:val="00BD7E5E"/>
    <w:rsid w:val="00BE189E"/>
    <w:rsid w:val="00BF0A23"/>
    <w:rsid w:val="00BF1D06"/>
    <w:rsid w:val="00BF2EF0"/>
    <w:rsid w:val="00BF370B"/>
    <w:rsid w:val="00BF3915"/>
    <w:rsid w:val="00BF7C6D"/>
    <w:rsid w:val="00C01179"/>
    <w:rsid w:val="00C0213A"/>
    <w:rsid w:val="00C039B2"/>
    <w:rsid w:val="00C04FBC"/>
    <w:rsid w:val="00C0508B"/>
    <w:rsid w:val="00C05552"/>
    <w:rsid w:val="00C06DA3"/>
    <w:rsid w:val="00C12305"/>
    <w:rsid w:val="00C12381"/>
    <w:rsid w:val="00C21E03"/>
    <w:rsid w:val="00C23C35"/>
    <w:rsid w:val="00C350FB"/>
    <w:rsid w:val="00C51348"/>
    <w:rsid w:val="00C52D5B"/>
    <w:rsid w:val="00C53089"/>
    <w:rsid w:val="00C530C7"/>
    <w:rsid w:val="00C532EC"/>
    <w:rsid w:val="00C538D6"/>
    <w:rsid w:val="00C54E97"/>
    <w:rsid w:val="00C6361B"/>
    <w:rsid w:val="00C66582"/>
    <w:rsid w:val="00C66ED0"/>
    <w:rsid w:val="00C7087E"/>
    <w:rsid w:val="00C70B23"/>
    <w:rsid w:val="00C73C20"/>
    <w:rsid w:val="00C74B40"/>
    <w:rsid w:val="00C7531C"/>
    <w:rsid w:val="00C7680B"/>
    <w:rsid w:val="00C76880"/>
    <w:rsid w:val="00C76AB4"/>
    <w:rsid w:val="00C7760A"/>
    <w:rsid w:val="00C817B4"/>
    <w:rsid w:val="00C829C8"/>
    <w:rsid w:val="00C9128F"/>
    <w:rsid w:val="00C97B87"/>
    <w:rsid w:val="00CA1789"/>
    <w:rsid w:val="00CA43B3"/>
    <w:rsid w:val="00CA6927"/>
    <w:rsid w:val="00CB07C7"/>
    <w:rsid w:val="00CB0DFC"/>
    <w:rsid w:val="00CB27A7"/>
    <w:rsid w:val="00CB3C00"/>
    <w:rsid w:val="00CB7A8D"/>
    <w:rsid w:val="00CB7FE1"/>
    <w:rsid w:val="00CC218B"/>
    <w:rsid w:val="00CC363F"/>
    <w:rsid w:val="00CC6444"/>
    <w:rsid w:val="00CD0CEF"/>
    <w:rsid w:val="00CD1824"/>
    <w:rsid w:val="00CD52CC"/>
    <w:rsid w:val="00CD7052"/>
    <w:rsid w:val="00CD740F"/>
    <w:rsid w:val="00CE1BE8"/>
    <w:rsid w:val="00CF1192"/>
    <w:rsid w:val="00CF2EB3"/>
    <w:rsid w:val="00CF3527"/>
    <w:rsid w:val="00CF7509"/>
    <w:rsid w:val="00D020FA"/>
    <w:rsid w:val="00D07E43"/>
    <w:rsid w:val="00D07F74"/>
    <w:rsid w:val="00D10814"/>
    <w:rsid w:val="00D121E5"/>
    <w:rsid w:val="00D13735"/>
    <w:rsid w:val="00D164C6"/>
    <w:rsid w:val="00D16DE9"/>
    <w:rsid w:val="00D17C9F"/>
    <w:rsid w:val="00D262A3"/>
    <w:rsid w:val="00D27E71"/>
    <w:rsid w:val="00D301F9"/>
    <w:rsid w:val="00D30BF0"/>
    <w:rsid w:val="00D31868"/>
    <w:rsid w:val="00D32033"/>
    <w:rsid w:val="00D32C28"/>
    <w:rsid w:val="00D34097"/>
    <w:rsid w:val="00D35B58"/>
    <w:rsid w:val="00D35F3D"/>
    <w:rsid w:val="00D42D93"/>
    <w:rsid w:val="00D43AE8"/>
    <w:rsid w:val="00D44F22"/>
    <w:rsid w:val="00D542E7"/>
    <w:rsid w:val="00D57D5D"/>
    <w:rsid w:val="00D6074E"/>
    <w:rsid w:val="00D60EA2"/>
    <w:rsid w:val="00D6474A"/>
    <w:rsid w:val="00D72214"/>
    <w:rsid w:val="00D736B6"/>
    <w:rsid w:val="00D74669"/>
    <w:rsid w:val="00D74A68"/>
    <w:rsid w:val="00D75CA9"/>
    <w:rsid w:val="00D75EFB"/>
    <w:rsid w:val="00D815DA"/>
    <w:rsid w:val="00D82094"/>
    <w:rsid w:val="00D85B9A"/>
    <w:rsid w:val="00D91FB9"/>
    <w:rsid w:val="00D939A9"/>
    <w:rsid w:val="00DA1B3F"/>
    <w:rsid w:val="00DA7922"/>
    <w:rsid w:val="00DB18BF"/>
    <w:rsid w:val="00DB78FB"/>
    <w:rsid w:val="00DC1F94"/>
    <w:rsid w:val="00DC3FCE"/>
    <w:rsid w:val="00DC67D4"/>
    <w:rsid w:val="00DC79E2"/>
    <w:rsid w:val="00DD3D75"/>
    <w:rsid w:val="00DD4214"/>
    <w:rsid w:val="00DD7763"/>
    <w:rsid w:val="00DD7D75"/>
    <w:rsid w:val="00DE0F1B"/>
    <w:rsid w:val="00DE1001"/>
    <w:rsid w:val="00DE1506"/>
    <w:rsid w:val="00DE1A22"/>
    <w:rsid w:val="00DE5C0E"/>
    <w:rsid w:val="00DE717F"/>
    <w:rsid w:val="00DF085C"/>
    <w:rsid w:val="00DF198E"/>
    <w:rsid w:val="00DF2C6C"/>
    <w:rsid w:val="00DF470A"/>
    <w:rsid w:val="00DF506C"/>
    <w:rsid w:val="00DF674E"/>
    <w:rsid w:val="00DF7579"/>
    <w:rsid w:val="00E01D20"/>
    <w:rsid w:val="00E02D3A"/>
    <w:rsid w:val="00E02D88"/>
    <w:rsid w:val="00E05CD1"/>
    <w:rsid w:val="00E06530"/>
    <w:rsid w:val="00E118DA"/>
    <w:rsid w:val="00E267C7"/>
    <w:rsid w:val="00E27AF0"/>
    <w:rsid w:val="00E30B5B"/>
    <w:rsid w:val="00E310F8"/>
    <w:rsid w:val="00E31D33"/>
    <w:rsid w:val="00E34F4C"/>
    <w:rsid w:val="00E3515F"/>
    <w:rsid w:val="00E36CD6"/>
    <w:rsid w:val="00E409F5"/>
    <w:rsid w:val="00E40F71"/>
    <w:rsid w:val="00E44C64"/>
    <w:rsid w:val="00E47CC4"/>
    <w:rsid w:val="00E47CFF"/>
    <w:rsid w:val="00E5280D"/>
    <w:rsid w:val="00E52F7D"/>
    <w:rsid w:val="00E5484B"/>
    <w:rsid w:val="00E548AE"/>
    <w:rsid w:val="00E560B4"/>
    <w:rsid w:val="00E5650D"/>
    <w:rsid w:val="00E60F49"/>
    <w:rsid w:val="00E60FEF"/>
    <w:rsid w:val="00E7063D"/>
    <w:rsid w:val="00E70C95"/>
    <w:rsid w:val="00E70E25"/>
    <w:rsid w:val="00E71108"/>
    <w:rsid w:val="00E76A2E"/>
    <w:rsid w:val="00E778C9"/>
    <w:rsid w:val="00E80A4E"/>
    <w:rsid w:val="00E83F61"/>
    <w:rsid w:val="00EA047C"/>
    <w:rsid w:val="00EA29C6"/>
    <w:rsid w:val="00EB184C"/>
    <w:rsid w:val="00EB283D"/>
    <w:rsid w:val="00EB45BA"/>
    <w:rsid w:val="00EB6671"/>
    <w:rsid w:val="00EB6F5B"/>
    <w:rsid w:val="00EC4266"/>
    <w:rsid w:val="00EC4639"/>
    <w:rsid w:val="00EC511A"/>
    <w:rsid w:val="00EC60A7"/>
    <w:rsid w:val="00EC760C"/>
    <w:rsid w:val="00ED3E5C"/>
    <w:rsid w:val="00ED3FBA"/>
    <w:rsid w:val="00ED4CC4"/>
    <w:rsid w:val="00ED6B45"/>
    <w:rsid w:val="00EE2C74"/>
    <w:rsid w:val="00EE4476"/>
    <w:rsid w:val="00EF1194"/>
    <w:rsid w:val="00EF1D5D"/>
    <w:rsid w:val="00EF2519"/>
    <w:rsid w:val="00EF30F9"/>
    <w:rsid w:val="00EF3CF7"/>
    <w:rsid w:val="00EF40EF"/>
    <w:rsid w:val="00EF44F4"/>
    <w:rsid w:val="00EF54DD"/>
    <w:rsid w:val="00F00F1E"/>
    <w:rsid w:val="00F01337"/>
    <w:rsid w:val="00F01A39"/>
    <w:rsid w:val="00F028F1"/>
    <w:rsid w:val="00F04184"/>
    <w:rsid w:val="00F04F73"/>
    <w:rsid w:val="00F062AA"/>
    <w:rsid w:val="00F10BC7"/>
    <w:rsid w:val="00F10D3B"/>
    <w:rsid w:val="00F15168"/>
    <w:rsid w:val="00F22F72"/>
    <w:rsid w:val="00F25DDA"/>
    <w:rsid w:val="00F2785F"/>
    <w:rsid w:val="00F33039"/>
    <w:rsid w:val="00F3576A"/>
    <w:rsid w:val="00F37B2C"/>
    <w:rsid w:val="00F41A54"/>
    <w:rsid w:val="00F41F8E"/>
    <w:rsid w:val="00F42329"/>
    <w:rsid w:val="00F441B1"/>
    <w:rsid w:val="00F44BAC"/>
    <w:rsid w:val="00F45897"/>
    <w:rsid w:val="00F50C24"/>
    <w:rsid w:val="00F5127B"/>
    <w:rsid w:val="00F53FFE"/>
    <w:rsid w:val="00F54001"/>
    <w:rsid w:val="00F542EC"/>
    <w:rsid w:val="00F62B53"/>
    <w:rsid w:val="00F6717D"/>
    <w:rsid w:val="00F675F5"/>
    <w:rsid w:val="00F709DA"/>
    <w:rsid w:val="00F72FB6"/>
    <w:rsid w:val="00F73273"/>
    <w:rsid w:val="00F74A5A"/>
    <w:rsid w:val="00F763AD"/>
    <w:rsid w:val="00F768C4"/>
    <w:rsid w:val="00F7739A"/>
    <w:rsid w:val="00F77668"/>
    <w:rsid w:val="00F809B1"/>
    <w:rsid w:val="00F818EA"/>
    <w:rsid w:val="00F81C72"/>
    <w:rsid w:val="00F85F7E"/>
    <w:rsid w:val="00F92541"/>
    <w:rsid w:val="00F940D4"/>
    <w:rsid w:val="00F949DB"/>
    <w:rsid w:val="00F96299"/>
    <w:rsid w:val="00FA0843"/>
    <w:rsid w:val="00FA28FA"/>
    <w:rsid w:val="00FA3624"/>
    <w:rsid w:val="00FA7E82"/>
    <w:rsid w:val="00FB048F"/>
    <w:rsid w:val="00FB1998"/>
    <w:rsid w:val="00FB2B5C"/>
    <w:rsid w:val="00FB318D"/>
    <w:rsid w:val="00FB4A4D"/>
    <w:rsid w:val="00FB4ECB"/>
    <w:rsid w:val="00FB6AC7"/>
    <w:rsid w:val="00FC20D0"/>
    <w:rsid w:val="00FC3322"/>
    <w:rsid w:val="00FD15C3"/>
    <w:rsid w:val="00FD6190"/>
    <w:rsid w:val="00FD636A"/>
    <w:rsid w:val="00FD6EE7"/>
    <w:rsid w:val="00FD7771"/>
    <w:rsid w:val="00FD788B"/>
    <w:rsid w:val="00FE05CD"/>
    <w:rsid w:val="00FE2D63"/>
    <w:rsid w:val="00FE5CE4"/>
    <w:rsid w:val="00FF3BF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404BD7-5DE2-4D37-95E8-8396E54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37"/>
    <w:pPr>
      <w:spacing w:before="120" w:line="240" w:lineRule="atLeast"/>
    </w:pPr>
    <w:rPr>
      <w:rFonts w:ascii="Georgia" w:hAnsi="Georgia"/>
      <w:szCs w:val="24"/>
    </w:rPr>
  </w:style>
  <w:style w:type="paragraph" w:styleId="Rubrik1">
    <w:name w:val="heading 1"/>
    <w:basedOn w:val="Normal"/>
    <w:next w:val="Brdtext"/>
    <w:qFormat/>
    <w:rsid w:val="00697713"/>
    <w:pPr>
      <w:keepNext/>
      <w:spacing w:before="240" w:after="60" w:line="32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8D5E85"/>
    <w:pPr>
      <w:keepNext/>
      <w:spacing w:before="240" w:after="60" w:line="260" w:lineRule="atLeast"/>
      <w:outlineLvl w:val="2"/>
    </w:pPr>
    <w:rPr>
      <w:rFonts w:ascii="Arial" w:hAnsi="Arial" w:cs="Arial"/>
      <w:b/>
      <w:bCs/>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link w:val="SidfotChar"/>
    <w:rsid w:val="00D07E43"/>
    <w:pPr>
      <w:tabs>
        <w:tab w:val="center" w:pos="4536"/>
        <w:tab w:val="right" w:pos="9072"/>
      </w:tabs>
    </w:pPr>
    <w:rPr>
      <w:sz w:val="22"/>
      <w:szCs w:val="24"/>
    </w:rPr>
  </w:style>
  <w:style w:type="table" w:styleId="Tabellrutnt">
    <w:name w:val="Table Grid"/>
    <w:basedOn w:val="Normaltabell"/>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8D5E85"/>
    <w:rPr>
      <w:rFonts w:ascii="Arial" w:hAnsi="Arial"/>
      <w:b/>
    </w:rPr>
  </w:style>
  <w:style w:type="paragraph" w:styleId="Brdtext">
    <w:name w:val="Body Text"/>
    <w:basedOn w:val="Normal"/>
    <w:link w:val="BrdtextChar"/>
    <w:rsid w:val="008D5E85"/>
    <w:pPr>
      <w:spacing w:after="120" w:line="260" w:lineRule="atLeast"/>
    </w:pPr>
  </w:style>
  <w:style w:type="paragraph" w:styleId="Punktlista">
    <w:name w:val="List Bullet"/>
    <w:aliases w:val="Punktlista Georgia"/>
    <w:basedOn w:val="Normal"/>
    <w:rsid w:val="008D5E85"/>
    <w:pPr>
      <w:numPr>
        <w:numId w:val="3"/>
      </w:numPr>
      <w:spacing w:before="240" w:after="60" w:line="260" w:lineRule="atLeast"/>
      <w:ind w:left="641" w:hanging="357"/>
      <w:contextualSpacing/>
    </w:pPr>
  </w:style>
  <w:style w:type="character" w:customStyle="1" w:styleId="BrdtextChar">
    <w:name w:val="Brödtext Char"/>
    <w:basedOn w:val="Standardstycketeckensnitt"/>
    <w:link w:val="Brdtext"/>
    <w:rsid w:val="008D5E85"/>
    <w:rPr>
      <w:rFonts w:ascii="Georgia" w:hAnsi="Georgia"/>
      <w:szCs w:val="24"/>
    </w:rPr>
  </w:style>
  <w:style w:type="paragraph" w:customStyle="1" w:styleId="CitatGeorgia">
    <w:name w:val="Citat Georgia"/>
    <w:basedOn w:val="Normal"/>
    <w:next w:val="Brdtext"/>
    <w:qFormat/>
    <w:rsid w:val="008D5E85"/>
    <w:pPr>
      <w:spacing w:after="120" w:line="260" w:lineRule="atLeast"/>
    </w:pPr>
    <w:rPr>
      <w:i/>
    </w:rPr>
  </w:style>
  <w:style w:type="character" w:styleId="Platshllartext">
    <w:name w:val="Placeholder Text"/>
    <w:basedOn w:val="Standardstycketeckensnitt"/>
    <w:uiPriority w:val="99"/>
    <w:semiHidden/>
    <w:rsid w:val="00CD1824"/>
    <w:rPr>
      <w:color w:val="808080"/>
    </w:rPr>
  </w:style>
  <w:style w:type="character" w:customStyle="1" w:styleId="SidhuvudChar">
    <w:name w:val="Sidhuvud Char"/>
    <w:basedOn w:val="Standardstycketeckensnitt"/>
    <w:link w:val="Sidhuvud"/>
    <w:rsid w:val="008E641C"/>
    <w:rPr>
      <w:rFonts w:ascii="Arial" w:hAnsi="Arial"/>
      <w:sz w:val="16"/>
      <w:szCs w:val="24"/>
    </w:rPr>
  </w:style>
  <w:style w:type="paragraph" w:customStyle="1" w:styleId="FormatmallRubrik116ptFre3ptefter12pt">
    <w:name w:val="Formatmall Rubrik 1 + 16 pt Före:  3 pt efter:  12 pt"/>
    <w:basedOn w:val="Rubrik1"/>
    <w:next w:val="Brdtext"/>
    <w:rsid w:val="0076650E"/>
    <w:pPr>
      <w:spacing w:before="60" w:after="240"/>
    </w:pPr>
    <w:rPr>
      <w:rFonts w:cs="Times New Roman"/>
      <w:sz w:val="32"/>
      <w:szCs w:val="20"/>
    </w:rPr>
  </w:style>
  <w:style w:type="character" w:customStyle="1" w:styleId="SidfotChar">
    <w:name w:val="Sidfot Char"/>
    <w:basedOn w:val="Standardstycketeckensnitt"/>
    <w:link w:val="Sidfot"/>
    <w:rsid w:val="00A311E1"/>
    <w:rPr>
      <w:sz w:val="22"/>
      <w:szCs w:val="24"/>
    </w:rPr>
  </w:style>
  <w:style w:type="character" w:customStyle="1" w:styleId="Formatmall1">
    <w:name w:val="Formatmall1"/>
    <w:basedOn w:val="Standardstycketeckensnitt"/>
    <w:uiPriority w:val="1"/>
    <w:rsid w:val="007E06EE"/>
    <w:rPr>
      <w:rFonts w:ascii="Arial" w:hAnsi="Arial"/>
      <w:color w:val="auto"/>
      <w:sz w:val="16"/>
    </w:rPr>
  </w:style>
  <w:style w:type="paragraph" w:customStyle="1" w:styleId="Default">
    <w:name w:val="Default"/>
    <w:rsid w:val="00313DAA"/>
    <w:pPr>
      <w:autoSpaceDE w:val="0"/>
      <w:autoSpaceDN w:val="0"/>
      <w:adjustRightInd w:val="0"/>
    </w:pPr>
    <w:rPr>
      <w:rFonts w:ascii="Georgia" w:hAnsi="Georgia" w:cs="Georgia"/>
      <w:color w:val="000000"/>
      <w:sz w:val="24"/>
      <w:szCs w:val="24"/>
    </w:rPr>
  </w:style>
  <w:style w:type="character" w:styleId="AnvndHyperlnk">
    <w:name w:val="FollowedHyperlink"/>
    <w:basedOn w:val="Standardstycketeckensnitt"/>
    <w:semiHidden/>
    <w:unhideWhenUsed/>
    <w:rsid w:val="007B2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9239">
      <w:bodyDiv w:val="1"/>
      <w:marLeft w:val="0"/>
      <w:marRight w:val="0"/>
      <w:marTop w:val="0"/>
      <w:marBottom w:val="0"/>
      <w:divBdr>
        <w:top w:val="none" w:sz="0" w:space="0" w:color="auto"/>
        <w:left w:val="none" w:sz="0" w:space="0" w:color="auto"/>
        <w:bottom w:val="none" w:sz="0" w:space="0" w:color="auto"/>
        <w:right w:val="none" w:sz="0" w:space="0" w:color="auto"/>
      </w:divBdr>
    </w:div>
    <w:div w:id="99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fiken.nu/globalassets/stockholm/dokument/storningsrapporten_20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fikverket.ineko.se/Files/sv-SE/19581/Ineko.Product.RelatedFiles/2017_095_TRV_&#197;rsredovisning_2016.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afikverket\Appl\Office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84E53B28DF465F8DF1CF9E34477228"/>
        <w:category>
          <w:name w:val="Allmänt"/>
          <w:gallery w:val="placeholder"/>
        </w:category>
        <w:types>
          <w:type w:val="bbPlcHdr"/>
        </w:types>
        <w:behaviors>
          <w:behavior w:val="content"/>
        </w:behaviors>
        <w:guid w:val="{5DB75D3D-DC04-482A-9C61-2D492CC8B75C}"/>
      </w:docPartPr>
      <w:docPartBody>
        <w:p w:rsidR="00E72481" w:rsidRDefault="00E72481">
          <w:pPr>
            <w:pStyle w:val="F284E53B28DF465F8DF1CF9E34477228"/>
          </w:pPr>
          <w:r w:rsidRPr="00717DD7">
            <w:rPr>
              <w:rStyle w:val="Platshllartext"/>
            </w:rPr>
            <w:t>[Dokumenttitel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81"/>
    <w:rsid w:val="00E72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84E53B28DF465F8DF1CF9E34477228">
    <w:name w:val="F284E53B28DF465F8DF1CF9E34477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PM_NY" ma:contentTypeID="0x010100C900B615F609024AA0A66B0C2D7195B500E4B29798AFEEE54EBEE02115A6D19256" ma:contentTypeVersion="14" ma:contentTypeDescription="" ma:contentTypeScope="" ma:versionID="1bac5a09a2001d1f4ddc7414c6730c0f">
  <xsd:schema xmlns:xsd="http://www.w3.org/2001/XMLSchema" xmlns:xs="http://www.w3.org/2001/XMLSchema" xmlns:p="http://schemas.microsoft.com/office/2006/metadata/properties" xmlns:ns2="46b3c23b-5501-4bd0-8fef-8fe7f3b10f57" xmlns:ns3="http://schemas.microsoft.com/sharepoint/v4/fields" targetNamespace="http://schemas.microsoft.com/office/2006/metadata/properties" ma:root="true" ma:fieldsID="ae93a0a93276351ac1a9e8ebd00127cb" ns2:_="" ns3:_="">
    <xsd:import namespace="46b3c23b-5501-4bd0-8fef-8fe7f3b10f57"/>
    <xsd:import namespace="http://schemas.microsoft.com/sharepoint/v4/fields"/>
    <xsd:element name="properties">
      <xsd:complexType>
        <xsd:sequence>
          <xsd:element name="documentManagement">
            <xsd:complexType>
              <xsd:all>
                <xsd:element ref="ns2:Skapat_x0020_av_x0020_NY"/>
                <xsd:element ref="ns2:Dokumenttitel_x0020_NY"/>
                <xsd:element ref="ns2:Dokumentdatum_x0020_NY"/>
                <xsd:element ref="ns2:Ärendenummer_x0020_NY" minOccurs="0"/>
                <xsd:element ref="ns3:TRVversionNY" minOccurs="0"/>
                <xsd:element ref="ns2:i54c14be9fac4ceaa7318aa49979445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3c23b-5501-4bd0-8fef-8fe7f3b10f57" elementFormDefault="qualified">
    <xsd:import namespace="http://schemas.microsoft.com/office/2006/documentManagement/types"/>
    <xsd:import namespace="http://schemas.microsoft.com/office/infopath/2007/PartnerControls"/>
    <xsd:element name="Skapat_x0020_av_x0020_NY" ma:index="1" ma:displayName="Skapat av NY" ma:internalName="Skapat_x0020_av_x0020_NY" ma:readOnly="false">
      <xsd:simpleType>
        <xsd:restriction base="dms:Text">
          <xsd:maxLength value="255"/>
        </xsd:restriction>
      </xsd:simpleType>
    </xsd:element>
    <xsd:element name="Dokumenttitel_x0020_NY" ma:index="2" ma:displayName="Dokumenttitel NY" ma:internalName="Dokumenttitel_x0020_NY" ma:readOnly="false">
      <xsd:simpleType>
        <xsd:restriction base="dms:Text">
          <xsd:maxLength value="255"/>
        </xsd:restriction>
      </xsd:simpleType>
    </xsd:element>
    <xsd:element name="Dokumentdatum_x0020_NY" ma:index="3" ma:displayName="Dokumentdatum NY" ma:format="DateOnly" ma:internalName="Dokumentdatum_x0020_NY" ma:readOnly="false">
      <xsd:simpleType>
        <xsd:restriction base="dms:DateTime"/>
      </xsd:simpleType>
    </xsd:element>
    <xsd:element name="Ärendenummer_x0020_NY" ma:index="5" nillable="true" ma:displayName="Ärendenummer NY" ma:internalName="_x00c4_rendenummer_x0020_NY">
      <xsd:simpleType>
        <xsd:restriction base="dms:Text">
          <xsd:maxLength value="255"/>
        </xsd:restriction>
      </xsd:simpleType>
    </xsd:element>
    <xsd:element name="i54c14be9fac4ceaa7318aa49979445b" ma:index="11" ma:taxonomy="true" ma:internalName="i54c14be9fac4ceaa7318aa49979445b" ma:taxonomyFieldName="Dokumenttyp_x0020_NY" ma:displayName="Dokumenttyp NY" ma:readOnly="false" ma:default="" ma:fieldId="{254c14be-9fac-4cea-a731-8aa49979445b}" ma:sspId="8b4061a7-86b8-4d81-a1da-241842f9e9ae"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9e06dc2-1d36-4d73-aec6-35d4ef714be6}" ma:internalName="TaxCatchAll" ma:showField="CatchAllData" ma:web="46b3c23b-5501-4bd0-8fef-8fe7f3b10f5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9e06dc2-1d36-4d73-aec6-35d4ef714be6}" ma:internalName="TaxCatchAllLabel" ma:readOnly="true" ma:showField="CatchAllDataLabel" ma:web="46b3c23b-5501-4bd0-8fef-8fe7f3b10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fields" elementFormDefault="qualified">
    <xsd:import namespace="http://schemas.microsoft.com/office/2006/documentManagement/types"/>
    <xsd:import namespace="http://schemas.microsoft.com/office/infopath/2007/PartnerControls"/>
    <xsd:element name="TRVversionNY" ma:index="6" nillable="true" ma:displayName="TRVversionNY" ma:internalName="TRVversionN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titel_x0020_NY xmlns="46b3c23b-5501-4bd0-8fef-8fe7f3b10f57">Beräkning av den samhällsekonomiska kostnaden för trafikstörningar</Dokumenttitel_x0020_NY>
    <Dokumentdatum_x0020_NY xmlns="46b3c23b-5501-4bd0-8fef-8fe7f3b10f57">2018-03-14T00:00:00</Dokumentdatum_x0020_NY>
    <i54c14be9fac4ceaa7318aa49979445b xmlns="46b3c23b-5501-4bd0-8fef-8fe7f3b10f57">
      <Terms xmlns="http://schemas.microsoft.com/office/infopath/2007/PartnerControls">
        <TermInfo xmlns="http://schemas.microsoft.com/office/infopath/2007/PartnerControls">
          <TermName xmlns="http://schemas.microsoft.com/office/infopath/2007/PartnerControls">PM</TermName>
          <TermId xmlns="http://schemas.microsoft.com/office/infopath/2007/PartnerControls">2951cae3-d408-469c-8e2a-ac8289187ec1</TermId>
        </TermInfo>
      </Terms>
    </i54c14be9fac4ceaa7318aa49979445b>
    <Skapat_x0020_av_x0020_NY xmlns="46b3c23b-5501-4bd0-8fef-8fe7f3b10f57"/>
    <Ärendenummer_x0020_NY xmlns="46b3c23b-5501-4bd0-8fef-8fe7f3b10f57" xsi:nil="true"/>
    <TaxCatchAll xmlns="46b3c23b-5501-4bd0-8fef-8fe7f3b10f57">
      <Value>7</Value>
    </TaxCatchAll>
    <TRVversionNY xmlns="http://schemas.microsoft.com/sharepoint/v4/fields">0.1</TRVversionN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A9606-04A2-46DA-A3BF-359B696F3FA6}">
  <ds:schemaRefs>
    <ds:schemaRef ds:uri="http://schemas.microsoft.com/office/2006/metadata/customXsn"/>
  </ds:schemaRefs>
</ds:datastoreItem>
</file>

<file path=customXml/itemProps2.xml><?xml version="1.0" encoding="utf-8"?>
<ds:datastoreItem xmlns:ds="http://schemas.openxmlformats.org/officeDocument/2006/customXml" ds:itemID="{5E62A3D2-123E-4EEB-B7EC-6F7FBA24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3c23b-5501-4bd0-8fef-8fe7f3b10f57"/>
    <ds:schemaRef ds:uri="http://schemas.microsoft.com/sharepoint/v4/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A68D9-8950-4114-8FA5-53D8393B4D23}">
  <ds:schemaRefs>
    <ds:schemaRef ds:uri="http://schemas.microsoft.com/office/2006/metadata/properties"/>
    <ds:schemaRef ds:uri="http://schemas.microsoft.com/sharepoint/v4/field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6b3c23b-5501-4bd0-8fef-8fe7f3b10f57"/>
    <ds:schemaRef ds:uri="http://www.w3.org/XML/1998/namespace"/>
    <ds:schemaRef ds:uri="http://purl.org/dc/dcmitype/"/>
  </ds:schemaRefs>
</ds:datastoreItem>
</file>

<file path=customXml/itemProps4.xml><?xml version="1.0" encoding="utf-8"?>
<ds:datastoreItem xmlns:ds="http://schemas.openxmlformats.org/officeDocument/2006/customXml" ds:itemID="{BF653246-A269-45D7-9036-EECC26B05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Template>
  <TotalTime>10</TotalTime>
  <Pages>5</Pages>
  <Words>1228</Words>
  <Characters>8654</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Lindvall Emma, PLee</dc:creator>
  <cp:lastModifiedBy>Selling Emma, PLee Konsult</cp:lastModifiedBy>
  <cp:revision>4</cp:revision>
  <dcterms:created xsi:type="dcterms:W3CDTF">2018-03-14T08:55:00Z</dcterms:created>
  <dcterms:modified xsi:type="dcterms:W3CDTF">2018-03-14T09:05:00Z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0x010100C900B615F609024AA0A66B0C2D7195B500E4B29798AFEEE54EBEE02115A6D19256</vt:lpwstr>
  </property>
  <property fmtid="{D5CDD505-2E9C-101B-9397-08002B2CF9AE}" pid="3" name="Dokumenttyp NY">
    <vt:lpwstr>7;#PM|2951cae3-d408-469c-8e2a-ac8289187ec1</vt:lpwstr>
  </property>
  <property fmtid="{D5CDD505-2E9C-101B-9397-08002B2CF9AE}" pid="4" name="TRV version NY">
    <vt:lpwstr>0.2</vt:lpwstr>
  </property>
  <property fmtid="{D5CDD505-2E9C-101B-9397-08002B2CF9AE}" pid="5" name="Projektnummer NY">
    <vt:lpwstr/>
  </property>
</Properties>
</file>