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1B85DF55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0E2024">
        <w:rPr>
          <w:rFonts w:cstheme="minorHAnsi"/>
          <w:szCs w:val="20"/>
        </w:rPr>
        <w:t>Trelleborg</w:t>
      </w:r>
      <w:r w:rsidR="00937EB1" w:rsidRPr="00100541">
        <w:rPr>
          <w:rFonts w:cstheme="minorHAnsi"/>
          <w:szCs w:val="20"/>
        </w:rPr>
        <w:t xml:space="preserve"> </w:t>
      </w:r>
      <w:r w:rsidR="000E2024">
        <w:rPr>
          <w:rFonts w:cstheme="minorHAnsi"/>
          <w:szCs w:val="20"/>
        </w:rPr>
        <w:t>ranger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79D580C3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0E2024">
        <w:rPr>
          <w:rFonts w:cstheme="minorHAnsi"/>
          <w:szCs w:val="20"/>
        </w:rPr>
        <w:t>Trelleborg</w:t>
      </w:r>
      <w:r w:rsidR="00937EB1">
        <w:rPr>
          <w:rFonts w:cstheme="minorHAnsi"/>
          <w:szCs w:val="20"/>
        </w:rPr>
        <w:t xml:space="preserve"> </w:t>
      </w:r>
      <w:r w:rsidR="000E2024">
        <w:rPr>
          <w:rFonts w:cstheme="minorHAnsi"/>
          <w:szCs w:val="20"/>
        </w:rPr>
        <w:t>ranger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6938328C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0E2024">
        <w:rPr>
          <w:rFonts w:cstheme="minorHAnsi"/>
          <w:szCs w:val="20"/>
        </w:rPr>
        <w:t>Trelleborg</w:t>
      </w:r>
      <w:r w:rsidR="00937EB1" w:rsidRPr="00D079F5">
        <w:rPr>
          <w:rFonts w:cstheme="minorHAnsi"/>
          <w:szCs w:val="20"/>
        </w:rPr>
        <w:t xml:space="preserve"> </w:t>
      </w:r>
      <w:r w:rsidR="000E2024">
        <w:rPr>
          <w:rFonts w:cstheme="minorHAnsi"/>
          <w:szCs w:val="20"/>
        </w:rPr>
        <w:t>ranger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3812386C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2E0B5FB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3D523BE9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64EB1ECC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0D7585A2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6629EE9E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71B421BA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6792DB98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0EEB677D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5E66AEC1" w14:textId="77777777" w:rsidR="00E46E9D" w:rsidRDefault="0026319F" w:rsidP="00E46E9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E46E9D">
        <w:rPr>
          <w:rFonts w:ascii="Times New Roman" w:hAnsi="Times New Roman" w:cs="Times New Roman"/>
          <w:sz w:val="22"/>
        </w:rPr>
        <w:t>Camilla Ernstsson</w:t>
      </w:r>
      <w:r w:rsidR="00E46E9D">
        <w:rPr>
          <w:rFonts w:ascii="Times New Roman" w:hAnsi="Times New Roman" w:cs="Times New Roman"/>
          <w:sz w:val="22"/>
        </w:rPr>
        <w:tab/>
      </w:r>
      <w:r w:rsidR="00E46E9D">
        <w:rPr>
          <w:rFonts w:ascii="Times New Roman" w:hAnsi="Times New Roman" w:cs="Times New Roman"/>
          <w:sz w:val="22"/>
        </w:rPr>
        <w:tab/>
        <w:t xml:space="preserve">Mats Nilsson </w:t>
      </w:r>
    </w:p>
    <w:p w14:paraId="244B05B2" w14:textId="77777777" w:rsidR="00E46E9D" w:rsidRDefault="00E46E9D" w:rsidP="00E46E9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Trafikverket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>
        <w:rPr>
          <w:rFonts w:ascii="Times New Roman" w:hAnsi="Times New Roman" w:cs="Times New Roman"/>
          <w:sz w:val="22"/>
        </w:rPr>
        <w:t>Trafikverket</w:t>
      </w:r>
      <w:proofErr w:type="spellEnd"/>
    </w:p>
    <w:p w14:paraId="6D26407F" w14:textId="77777777" w:rsidR="00E46E9D" w:rsidRPr="005F6C48" w:rsidRDefault="00E46E9D" w:rsidP="00E46E9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Box 543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 w:rsidRPr="005F6C48">
        <w:rPr>
          <w:rFonts w:ascii="Times New Roman" w:hAnsi="Times New Roman" w:cs="Times New Roman"/>
          <w:sz w:val="22"/>
        </w:rPr>
        <w:t>Neptunigatan</w:t>
      </w:r>
      <w:proofErr w:type="spellEnd"/>
      <w:r w:rsidRPr="005F6C48">
        <w:rPr>
          <w:rFonts w:ascii="Times New Roman" w:hAnsi="Times New Roman" w:cs="Times New Roman"/>
          <w:sz w:val="22"/>
        </w:rPr>
        <w:t xml:space="preserve"> 56</w:t>
      </w:r>
    </w:p>
    <w:p w14:paraId="6F85493C" w14:textId="77777777" w:rsidR="00E46E9D" w:rsidRDefault="00E46E9D" w:rsidP="00E46E9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291 25 Kristianstad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211 18 Malmö</w:t>
      </w:r>
    </w:p>
    <w:p w14:paraId="675781CC" w14:textId="77777777" w:rsidR="00E46E9D" w:rsidRDefault="00E46E9D" w:rsidP="00E46E9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Besöksadress Björkhemsvägen 17</w:t>
      </w:r>
      <w:r>
        <w:rPr>
          <w:rFonts w:ascii="Times New Roman" w:hAnsi="Times New Roman" w:cs="Times New Roman"/>
          <w:sz w:val="22"/>
        </w:rPr>
        <w:tab/>
        <w:t xml:space="preserve">Besöksadress </w:t>
      </w:r>
      <w:proofErr w:type="spellStart"/>
      <w:r w:rsidRPr="005F6C48">
        <w:rPr>
          <w:rFonts w:ascii="Times New Roman" w:hAnsi="Times New Roman" w:cs="Times New Roman"/>
          <w:sz w:val="22"/>
        </w:rPr>
        <w:t>Neptunigatan</w:t>
      </w:r>
      <w:proofErr w:type="spellEnd"/>
      <w:r w:rsidRPr="005F6C48">
        <w:rPr>
          <w:rFonts w:ascii="Times New Roman" w:hAnsi="Times New Roman" w:cs="Times New Roman"/>
          <w:sz w:val="22"/>
        </w:rPr>
        <w:t xml:space="preserve"> 52</w:t>
      </w:r>
    </w:p>
    <w:p w14:paraId="231B6AD1" w14:textId="77777777" w:rsidR="00E46E9D" w:rsidRDefault="00E46E9D" w:rsidP="00E46E9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Tele: </w:t>
      </w:r>
      <w:proofErr w:type="gramStart"/>
      <w:r>
        <w:rPr>
          <w:rFonts w:ascii="Times New Roman" w:hAnsi="Times New Roman" w:cs="Times New Roman"/>
          <w:sz w:val="22"/>
        </w:rPr>
        <w:t>010-1238481</w:t>
      </w:r>
      <w:proofErr w:type="gramEnd"/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Tele: 010-1238141</w:t>
      </w:r>
    </w:p>
    <w:p w14:paraId="102EDD9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8D45CC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77777777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190" w14:textId="77777777" w:rsidR="004B7B47" w:rsidRDefault="004B7B47" w:rsidP="00FD2679">
      <w:r>
        <w:separator/>
      </w:r>
    </w:p>
  </w:endnote>
  <w:endnote w:type="continuationSeparator" w:id="0">
    <w:p w14:paraId="2B312A52" w14:textId="77777777" w:rsidR="004B7B47" w:rsidRDefault="004B7B47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797CA0" w:rsidRPr="00D5260A" w:rsidRDefault="00D5260A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C390" w14:textId="77777777" w:rsidR="004B7B47" w:rsidRDefault="004B7B47" w:rsidP="00FD2679">
      <w:r>
        <w:separator/>
      </w:r>
    </w:p>
  </w:footnote>
  <w:footnote w:type="continuationSeparator" w:id="0">
    <w:p w14:paraId="3B1FD6C6" w14:textId="77777777" w:rsidR="004B7B47" w:rsidRDefault="004B7B47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3AAD9AA0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1E3CC478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D5260A" w:rsidRPr="000D1EBF" w:rsidRDefault="00E1740D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2C124F5C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142054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142054" w:rsidRPr="00142054">
              <w:rPr>
                <w:rFonts w:ascii="Arial" w:hAnsi="Arial" w:cs="Arial"/>
                <w:noProof/>
              </w:rPr>
              <w:t>5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3938B993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D5260A" w:rsidRDefault="00D5260A" w:rsidP="009B0F07"/>
      </w:tc>
    </w:tr>
    <w:tr w:rsidR="00D5260A" w14:paraId="3E95E98B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D5260A" w14:paraId="0DE716C5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D5260A" w:rsidRDefault="00ED053F" w:rsidP="00ED053F">
              <w:r>
                <w:t>Pollack,</w:t>
              </w:r>
              <w:r w:rsidR="00E1740D">
                <w:t xml:space="preserve"> </w:t>
              </w:r>
              <w:r>
                <w:t>Andreas, UHvesä</w:t>
              </w:r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D5260A" w:rsidRDefault="00D5260A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5D35BECD" w:rsidR="00D5260A" w:rsidRDefault="00D00CD9" w:rsidP="00494381">
          <w:r w:rsidRPr="00D00CD9">
            <w:t>TRV 2016/</w:t>
          </w:r>
          <w:proofErr w:type="gramStart"/>
          <w:r w:rsidRPr="00D00CD9">
            <w:t>42270</w:t>
          </w:r>
          <w:proofErr w:type="gramEnd"/>
        </w:p>
      </w:tc>
    </w:tr>
    <w:tr w:rsidR="00D5260A" w14:paraId="085DA6A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7B8C0FD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D5260A" w:rsidRDefault="00D5260A" w:rsidP="009B0F07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7FA6D8AF" w:rsidR="00D5260A" w:rsidRDefault="000E2024" w:rsidP="00C758AE">
          <w:bookmarkStart w:id="1" w:name="Dokumentdatum"/>
          <w:bookmarkEnd w:id="1"/>
          <w:r>
            <w:t>2016-05-03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1CAA93CA" w:rsidR="00D5260A" w:rsidRDefault="00E76969" w:rsidP="009B0F07">
          <w:bookmarkStart w:id="2" w:name="Versionnummer"/>
          <w:bookmarkEnd w:id="2"/>
          <w:r>
            <w:t>1</w:t>
          </w:r>
          <w:r w:rsidR="005D299F">
            <w:t>.</w:t>
          </w:r>
          <w:r>
            <w:t>0</w:t>
          </w:r>
        </w:p>
      </w:tc>
    </w:tr>
    <w:tr w:rsidR="00D5260A" w14:paraId="29733CF1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D5260A" w14:paraId="1FE8EC7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415F7171" w:rsidR="00D5260A" w:rsidRPr="00FD2679" w:rsidRDefault="004B7B47" w:rsidP="000E2024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</w:t>
              </w:r>
              <w:r w:rsidR="000E2024">
                <w:rPr>
                  <w:rFonts w:ascii="Arial" w:hAnsi="Arial" w:cs="Arial"/>
                  <w:b/>
                  <w:sz w:val="28"/>
                  <w:szCs w:val="28"/>
                </w:rPr>
                <w:t>Trelleborg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r w:rsidR="000E2024">
                <w:rPr>
                  <w:rFonts w:ascii="Arial" w:hAnsi="Arial" w:cs="Arial"/>
                  <w:b/>
                  <w:sz w:val="28"/>
                  <w:szCs w:val="28"/>
                </w:rPr>
                <w:t>ranger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>bangård</w:t>
              </w:r>
            </w:sdtContent>
          </w:sdt>
        </w:p>
      </w:tc>
    </w:tr>
  </w:tbl>
  <w:p w14:paraId="45C3A1BD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4ED12E3E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77C50B0B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D5260A" w:rsidRPr="000D1EBF" w:rsidRDefault="00A6574B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2E5D536D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142054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142054" w:rsidRPr="00142054">
              <w:rPr>
                <w:rFonts w:ascii="Arial" w:hAnsi="Arial" w:cs="Arial"/>
                <w:noProof/>
              </w:rPr>
              <w:t>5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6D8B6BAA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D5260A" w:rsidRDefault="00D5260A" w:rsidP="009B0F07"/>
      </w:tc>
    </w:tr>
    <w:tr w:rsidR="00D5260A" w14:paraId="3DBF598F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44509AFE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D5260A" w:rsidRDefault="00D5260A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2FE20AC6" w:rsidR="00D5260A" w:rsidRDefault="00263DC8" w:rsidP="005137A9">
          <w:r w:rsidRPr="00263DC8">
            <w:t>TRV 2015/</w:t>
          </w:r>
          <w:proofErr w:type="gramStart"/>
          <w:r w:rsidRPr="00263DC8">
            <w:t>10166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77777777" w:rsidR="00D5260A" w:rsidRDefault="005137A9" w:rsidP="009B0F07">
          <w:r>
            <w:t>1.0</w:t>
          </w:r>
        </w:p>
      </w:tc>
    </w:tr>
  </w:tbl>
  <w:p w14:paraId="6356DA9D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907CA"/>
    <w:rsid w:val="00093C15"/>
    <w:rsid w:val="000967A7"/>
    <w:rsid w:val="000967F4"/>
    <w:rsid w:val="0009737F"/>
    <w:rsid w:val="000A1796"/>
    <w:rsid w:val="000A20DC"/>
    <w:rsid w:val="000B00F2"/>
    <w:rsid w:val="000B4134"/>
    <w:rsid w:val="000B7D7C"/>
    <w:rsid w:val="000C02C3"/>
    <w:rsid w:val="000C4A2B"/>
    <w:rsid w:val="000C5D4D"/>
    <w:rsid w:val="000D3359"/>
    <w:rsid w:val="000E095B"/>
    <w:rsid w:val="000E2024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054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5C5C"/>
    <w:rsid w:val="00236164"/>
    <w:rsid w:val="00251509"/>
    <w:rsid w:val="00262733"/>
    <w:rsid w:val="0026319F"/>
    <w:rsid w:val="00263DC8"/>
    <w:rsid w:val="002673E2"/>
    <w:rsid w:val="002708C1"/>
    <w:rsid w:val="002737A7"/>
    <w:rsid w:val="00280F5F"/>
    <w:rsid w:val="00284841"/>
    <w:rsid w:val="00294468"/>
    <w:rsid w:val="002A5635"/>
    <w:rsid w:val="002A61CE"/>
    <w:rsid w:val="002A6BA3"/>
    <w:rsid w:val="002B38DE"/>
    <w:rsid w:val="002D654F"/>
    <w:rsid w:val="002F12CE"/>
    <w:rsid w:val="002F4F7D"/>
    <w:rsid w:val="002F52E1"/>
    <w:rsid w:val="002F7567"/>
    <w:rsid w:val="00302C8D"/>
    <w:rsid w:val="00305B5B"/>
    <w:rsid w:val="003157B4"/>
    <w:rsid w:val="00317318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70515"/>
    <w:rsid w:val="00370B73"/>
    <w:rsid w:val="00372CCB"/>
    <w:rsid w:val="00385649"/>
    <w:rsid w:val="00386E06"/>
    <w:rsid w:val="00386F68"/>
    <w:rsid w:val="0039209B"/>
    <w:rsid w:val="003A58D2"/>
    <w:rsid w:val="003C15B5"/>
    <w:rsid w:val="003C3ACB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76A7"/>
    <w:rsid w:val="004008D4"/>
    <w:rsid w:val="004135EB"/>
    <w:rsid w:val="00421AC6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B7B47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6123C0"/>
    <w:rsid w:val="00616256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72608"/>
    <w:rsid w:val="006765C1"/>
    <w:rsid w:val="0067690B"/>
    <w:rsid w:val="00676B7E"/>
    <w:rsid w:val="006921B4"/>
    <w:rsid w:val="0069282C"/>
    <w:rsid w:val="006938ED"/>
    <w:rsid w:val="006967E5"/>
    <w:rsid w:val="006A0C28"/>
    <w:rsid w:val="006A0DE2"/>
    <w:rsid w:val="006A1349"/>
    <w:rsid w:val="006A20B5"/>
    <w:rsid w:val="006A6E1C"/>
    <w:rsid w:val="006B1649"/>
    <w:rsid w:val="006B3B8D"/>
    <w:rsid w:val="006C6006"/>
    <w:rsid w:val="006D37F2"/>
    <w:rsid w:val="006E0B40"/>
    <w:rsid w:val="006F17E9"/>
    <w:rsid w:val="006F2C74"/>
    <w:rsid w:val="006F4B9D"/>
    <w:rsid w:val="006F6F4B"/>
    <w:rsid w:val="00701FBB"/>
    <w:rsid w:val="00703D9F"/>
    <w:rsid w:val="00704C8D"/>
    <w:rsid w:val="00710566"/>
    <w:rsid w:val="00711F32"/>
    <w:rsid w:val="00713044"/>
    <w:rsid w:val="007148CB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731C0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E0DC7"/>
    <w:rsid w:val="007F38E5"/>
    <w:rsid w:val="00800047"/>
    <w:rsid w:val="00806E5E"/>
    <w:rsid w:val="00810F38"/>
    <w:rsid w:val="008161FE"/>
    <w:rsid w:val="00816F4C"/>
    <w:rsid w:val="00817452"/>
    <w:rsid w:val="00827485"/>
    <w:rsid w:val="00830B5A"/>
    <w:rsid w:val="0083623A"/>
    <w:rsid w:val="008429B9"/>
    <w:rsid w:val="00853DCD"/>
    <w:rsid w:val="008573E8"/>
    <w:rsid w:val="008606EC"/>
    <w:rsid w:val="00881998"/>
    <w:rsid w:val="0088454E"/>
    <w:rsid w:val="00885360"/>
    <w:rsid w:val="0088771C"/>
    <w:rsid w:val="008966B5"/>
    <w:rsid w:val="008A6204"/>
    <w:rsid w:val="008B1FB2"/>
    <w:rsid w:val="008B3266"/>
    <w:rsid w:val="008B6AC6"/>
    <w:rsid w:val="008C7AF5"/>
    <w:rsid w:val="008D2C75"/>
    <w:rsid w:val="008D45CC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15B0"/>
    <w:rsid w:val="0096392C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1CDA"/>
    <w:rsid w:val="00A1242F"/>
    <w:rsid w:val="00A174E0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A488D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67B98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02216"/>
    <w:rsid w:val="00C104F7"/>
    <w:rsid w:val="00C12274"/>
    <w:rsid w:val="00C15015"/>
    <w:rsid w:val="00C21B8F"/>
    <w:rsid w:val="00C251A6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D0F44"/>
    <w:rsid w:val="00CD3D56"/>
    <w:rsid w:val="00CE1F3C"/>
    <w:rsid w:val="00CF7CC5"/>
    <w:rsid w:val="00D0037C"/>
    <w:rsid w:val="00D00CD9"/>
    <w:rsid w:val="00D02089"/>
    <w:rsid w:val="00D03BDF"/>
    <w:rsid w:val="00D0619E"/>
    <w:rsid w:val="00D079F5"/>
    <w:rsid w:val="00D10B1B"/>
    <w:rsid w:val="00D10D81"/>
    <w:rsid w:val="00D212FC"/>
    <w:rsid w:val="00D23D63"/>
    <w:rsid w:val="00D40118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4B76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422FE"/>
    <w:rsid w:val="00E43FC9"/>
    <w:rsid w:val="00E46E9D"/>
    <w:rsid w:val="00E47494"/>
    <w:rsid w:val="00E64FC8"/>
    <w:rsid w:val="00E73C8E"/>
    <w:rsid w:val="00E74D3A"/>
    <w:rsid w:val="00E75654"/>
    <w:rsid w:val="00E76969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C1405"/>
    <w:rsid w:val="00FC1A40"/>
    <w:rsid w:val="00FC2AF8"/>
    <w:rsid w:val="00FC303E"/>
    <w:rsid w:val="00FD2679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200B21"/>
    <w:rsid w:val="002B0419"/>
    <w:rsid w:val="002D391E"/>
    <w:rsid w:val="003137FD"/>
    <w:rsid w:val="0061609F"/>
    <w:rsid w:val="007A33BF"/>
    <w:rsid w:val="00864638"/>
    <w:rsid w:val="008B320D"/>
    <w:rsid w:val="0092514E"/>
    <w:rsid w:val="00966255"/>
    <w:rsid w:val="00A353EA"/>
    <w:rsid w:val="00D12FE0"/>
    <w:rsid w:val="00D70DBC"/>
    <w:rsid w:val="00E639C1"/>
    <w:rsid w:val="00E80F8D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46F4B5D58A941A0816A0438AE9DFD" ma:contentTypeVersion="7" ma:contentTypeDescription="Skapa ett nytt dokument." ma:contentTypeScope="" ma:versionID="fa8b7d581d68bed12da5a4e80c8aa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1b6fed269ffba10bf0e4f9d9f58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D21E-FBDF-44B4-BDE0-EAAA9B8A13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A16DB1-5E4F-4911-BA5A-5E2E52604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9D12E-AF8D-4E9B-B041-EACC4909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Eng Mats, UHjba</cp:lastModifiedBy>
  <cp:revision>2</cp:revision>
  <cp:lastPrinted>2015-02-16T16:27:00Z</cp:lastPrinted>
  <dcterms:created xsi:type="dcterms:W3CDTF">2025-08-27T12:25:00Z</dcterms:created>
  <dcterms:modified xsi:type="dcterms:W3CDTF">2025-08-27T12:25:00Z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0x01010098446F4B5D58A941A0816A0438AE9DFD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